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95" w:rsidRPr="0044723F" w:rsidRDefault="00A56295" w:rsidP="00A56295">
      <w:pPr>
        <w:jc w:val="left"/>
        <w:rPr>
          <w:rFonts w:ascii="幼圆" w:eastAsia="幼圆"/>
          <w:sz w:val="32"/>
          <w:szCs w:val="32"/>
        </w:rPr>
      </w:pPr>
      <w:r>
        <w:rPr>
          <w:rFonts w:ascii="幼圆" w:eastAsia="幼圆" w:hint="eastAsia"/>
          <w:sz w:val="32"/>
        </w:rPr>
        <w:t>化工环保通讯    12</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12</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44</w:t>
      </w:r>
      <w:r w:rsidRPr="0044723F">
        <w:rPr>
          <w:rFonts w:hint="eastAsia"/>
          <w:sz w:val="32"/>
          <w:szCs w:val="32"/>
        </w:rPr>
        <w:t>期）</w:t>
      </w:r>
    </w:p>
    <w:p w:rsidR="00A56295" w:rsidRPr="0044723F" w:rsidRDefault="00A56295" w:rsidP="00A56295">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A56295" w:rsidRPr="001442DE" w:rsidRDefault="00A56295" w:rsidP="00A56295">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A56295" w:rsidRDefault="00A56295" w:rsidP="00A56295">
      <w:pPr>
        <w:jc w:val="center"/>
        <w:rPr>
          <w:sz w:val="32"/>
        </w:rPr>
      </w:pPr>
      <w:r>
        <w:rPr>
          <w:rFonts w:hint="eastAsia"/>
          <w:sz w:val="32"/>
        </w:rPr>
        <w:t>目</w:t>
      </w:r>
      <w:r>
        <w:rPr>
          <w:rFonts w:hint="eastAsia"/>
          <w:sz w:val="32"/>
        </w:rPr>
        <w:t xml:space="preserve">    </w:t>
      </w:r>
      <w:r>
        <w:rPr>
          <w:rFonts w:hint="eastAsia"/>
          <w:sz w:val="32"/>
        </w:rPr>
        <w:t>录</w:t>
      </w:r>
    </w:p>
    <w:p w:rsidR="00A56295" w:rsidRDefault="00A56295" w:rsidP="00A56295">
      <w:pPr>
        <w:rPr>
          <w:sz w:val="28"/>
          <w:bdr w:val="single" w:sz="4" w:space="0" w:color="auto"/>
        </w:rPr>
      </w:pPr>
      <w:r>
        <w:rPr>
          <w:rFonts w:hint="eastAsia"/>
          <w:sz w:val="28"/>
          <w:bdr w:val="single" w:sz="4" w:space="0" w:color="auto"/>
        </w:rPr>
        <w:t>政府信息</w:t>
      </w:r>
    </w:p>
    <w:p w:rsidR="00A56295" w:rsidRPr="006E27DB" w:rsidRDefault="00A56295" w:rsidP="00A56295">
      <w:pPr>
        <w:widowControl/>
        <w:shd w:val="clear" w:color="auto" w:fill="FFFFFF"/>
        <w:spacing w:line="400" w:lineRule="atLeast"/>
        <w:jc w:val="left"/>
        <w:outlineLvl w:val="1"/>
        <w:rPr>
          <w:rFonts w:asciiTheme="majorEastAsia" w:eastAsiaTheme="majorEastAsia" w:hAnsiTheme="majorEastAsia" w:cs="宋体"/>
          <w:bCs/>
          <w:kern w:val="36"/>
          <w:sz w:val="28"/>
          <w:szCs w:val="28"/>
        </w:rPr>
      </w:pPr>
      <w:r w:rsidRPr="006E27DB">
        <w:rPr>
          <w:rFonts w:asciiTheme="majorEastAsia" w:eastAsiaTheme="majorEastAsia" w:hAnsiTheme="majorEastAsia" w:hint="eastAsia"/>
          <w:sz w:val="28"/>
          <w:szCs w:val="28"/>
        </w:rPr>
        <w:t>Δ环境部</w:t>
      </w:r>
      <w:r w:rsidRPr="006E27DB">
        <w:rPr>
          <w:rFonts w:asciiTheme="majorEastAsia" w:eastAsiaTheme="majorEastAsia" w:hAnsiTheme="majorEastAsia" w:cs="宋体" w:hint="eastAsia"/>
          <w:bCs/>
          <w:kern w:val="36"/>
          <w:sz w:val="28"/>
          <w:szCs w:val="28"/>
        </w:rPr>
        <w:t>发布《国家大气污染物排放标准制订技术导则》等两项国家环保标准</w:t>
      </w:r>
    </w:p>
    <w:p w:rsidR="00A56295" w:rsidRPr="002940CF" w:rsidRDefault="00A56295" w:rsidP="00A56295">
      <w:pPr>
        <w:jc w:val="left"/>
        <w:rPr>
          <w:sz w:val="28"/>
          <w:szCs w:val="28"/>
        </w:rPr>
      </w:pPr>
      <w:r w:rsidRPr="002940CF">
        <w:rPr>
          <w:rFonts w:hint="eastAsia"/>
          <w:sz w:val="28"/>
          <w:szCs w:val="28"/>
        </w:rPr>
        <w:t>Δ工信部公布</w:t>
      </w:r>
      <w:r w:rsidRPr="002940CF">
        <w:rPr>
          <w:rFonts w:hint="eastAsia"/>
          <w:sz w:val="28"/>
          <w:szCs w:val="28"/>
        </w:rPr>
        <w:t>2019</w:t>
      </w:r>
      <w:r w:rsidRPr="002940CF">
        <w:rPr>
          <w:rFonts w:hint="eastAsia"/>
          <w:sz w:val="28"/>
          <w:szCs w:val="28"/>
        </w:rPr>
        <w:t>年取消部分证明事项</w:t>
      </w:r>
    </w:p>
    <w:p w:rsidR="00A56295" w:rsidRPr="009E641D" w:rsidRDefault="00A56295" w:rsidP="00A56295">
      <w:pPr>
        <w:rPr>
          <w:sz w:val="28"/>
          <w:szCs w:val="28"/>
        </w:rPr>
      </w:pPr>
      <w:r w:rsidRPr="009E641D">
        <w:rPr>
          <w:rFonts w:hint="eastAsia"/>
          <w:sz w:val="28"/>
          <w:szCs w:val="28"/>
        </w:rPr>
        <w:t>Δ关于发布进口货物的固体废物属性鉴别程序的公告</w:t>
      </w:r>
    </w:p>
    <w:p w:rsidR="00A56295" w:rsidRDefault="00A56295" w:rsidP="00A56295">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A56295" w:rsidRPr="00014DFF" w:rsidRDefault="00A56295" w:rsidP="00A56295">
      <w:pPr>
        <w:widowControl/>
        <w:shd w:val="clear" w:color="auto" w:fill="FFFFFF"/>
        <w:spacing w:line="333" w:lineRule="atLeast"/>
        <w:jc w:val="left"/>
        <w:outlineLvl w:val="0"/>
        <w:rPr>
          <w:rFonts w:ascii="微软雅黑" w:eastAsia="微软雅黑" w:hAnsi="微软雅黑" w:cs="宋体"/>
          <w:color w:val="333333"/>
          <w:spacing w:val="5"/>
          <w:kern w:val="36"/>
          <w:sz w:val="28"/>
          <w:szCs w:val="28"/>
        </w:rPr>
      </w:pPr>
      <w:r w:rsidRPr="00B53C5D">
        <w:rPr>
          <w:rFonts w:hint="eastAsia"/>
          <w:sz w:val="28"/>
          <w:szCs w:val="28"/>
        </w:rPr>
        <w:t>Δ</w:t>
      </w:r>
      <w:r w:rsidRPr="00B53C5D">
        <w:rPr>
          <w:rFonts w:ascii="宋体" w:hAnsi="宋体" w:cs="宋体" w:hint="eastAsia"/>
          <w:bCs/>
          <w:color w:val="333333"/>
          <w:spacing w:val="5"/>
          <w:kern w:val="36"/>
          <w:sz w:val="28"/>
          <w:szCs w:val="28"/>
        </w:rPr>
        <w:t>化工环保协会组织召开《染料废水制备硫酸铵》和《绿色设计产品评价技术规范 分散染料》两项标准讨论会</w:t>
      </w:r>
    </w:p>
    <w:p w:rsidR="00A56295" w:rsidRPr="00220D03" w:rsidRDefault="00A56295" w:rsidP="00A56295">
      <w:pPr>
        <w:jc w:val="left"/>
        <w:rPr>
          <w:rFonts w:ascii="微软雅黑" w:hAnsi="微软雅黑"/>
          <w:sz w:val="28"/>
          <w:szCs w:val="28"/>
        </w:rPr>
      </w:pPr>
      <w:r w:rsidRPr="00220D03">
        <w:rPr>
          <w:rFonts w:hint="eastAsia"/>
          <w:sz w:val="28"/>
          <w:szCs w:val="28"/>
        </w:rPr>
        <w:t>Δ</w:t>
      </w:r>
      <w:r w:rsidRPr="00220D03">
        <w:rPr>
          <w:rFonts w:ascii="微软雅黑" w:hAnsi="微软雅黑" w:hint="eastAsia"/>
          <w:sz w:val="28"/>
          <w:szCs w:val="28"/>
        </w:rPr>
        <w:t>《石油炼制行业绿色工厂评价导则》等六项标准专家审查会召开</w:t>
      </w:r>
    </w:p>
    <w:p w:rsidR="00A56295" w:rsidRPr="00EB55A0" w:rsidRDefault="00A56295" w:rsidP="00A56295">
      <w:pPr>
        <w:spacing w:line="440" w:lineRule="exact"/>
        <w:jc w:val="left"/>
        <w:rPr>
          <w:rFonts w:asciiTheme="minorEastAsia" w:eastAsiaTheme="minorEastAsia" w:hAnsiTheme="minorEastAsia"/>
          <w:sz w:val="28"/>
          <w:szCs w:val="28"/>
        </w:rPr>
      </w:pPr>
      <w:r w:rsidRPr="00EB55A0">
        <w:rPr>
          <w:rFonts w:asciiTheme="minorEastAsia" w:eastAsiaTheme="minorEastAsia" w:hAnsiTheme="minorEastAsia" w:hint="eastAsia"/>
          <w:sz w:val="28"/>
          <w:szCs w:val="28"/>
        </w:rPr>
        <w:t>Δ</w:t>
      </w:r>
      <w:r w:rsidRPr="00EB55A0">
        <w:rPr>
          <w:rFonts w:asciiTheme="minorEastAsia" w:eastAsiaTheme="minorEastAsia" w:hAnsiTheme="minorEastAsia"/>
          <w:sz w:val="28"/>
          <w:szCs w:val="28"/>
        </w:rPr>
        <w:t>石化行业：借助搬迁改造 实现绿色发展</w:t>
      </w:r>
    </w:p>
    <w:p w:rsidR="00A56295" w:rsidRDefault="00A56295" w:rsidP="00A56295">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A56295" w:rsidRPr="00B53C5D" w:rsidRDefault="00A56295" w:rsidP="00A56295">
      <w:pPr>
        <w:rPr>
          <w:sz w:val="28"/>
          <w:szCs w:val="28"/>
        </w:rPr>
      </w:pPr>
      <w:r w:rsidRPr="00B53C5D">
        <w:rPr>
          <w:rFonts w:hint="eastAsia"/>
          <w:sz w:val="28"/>
          <w:szCs w:val="28"/>
        </w:rPr>
        <w:t>Δ工信部</w:t>
      </w:r>
      <w:r w:rsidRPr="00B53C5D">
        <w:rPr>
          <w:rFonts w:hint="eastAsia"/>
          <w:sz w:val="28"/>
          <w:szCs w:val="28"/>
        </w:rPr>
        <w:t>2018</w:t>
      </w:r>
      <w:r w:rsidRPr="00B53C5D">
        <w:rPr>
          <w:rFonts w:hint="eastAsia"/>
          <w:sz w:val="28"/>
          <w:szCs w:val="28"/>
        </w:rPr>
        <w:t>年团体标准应用示范项目名单出炉</w:t>
      </w:r>
    </w:p>
    <w:p w:rsidR="00A56295" w:rsidRPr="003C4C96" w:rsidRDefault="00A56295" w:rsidP="00A56295">
      <w:pPr>
        <w:jc w:val="left"/>
        <w:rPr>
          <w:sz w:val="28"/>
          <w:szCs w:val="28"/>
        </w:rPr>
      </w:pPr>
      <w:r w:rsidRPr="00AF758F">
        <w:rPr>
          <w:rFonts w:hint="eastAsia"/>
          <w:sz w:val="28"/>
          <w:szCs w:val="28"/>
        </w:rPr>
        <w:t>Δ</w:t>
      </w:r>
      <w:r w:rsidRPr="003C4C96">
        <w:rPr>
          <w:rFonts w:hint="eastAsia"/>
          <w:sz w:val="28"/>
          <w:szCs w:val="28"/>
        </w:rPr>
        <w:t>不缺钱！环保行业到底缺啥？</w:t>
      </w:r>
    </w:p>
    <w:p w:rsidR="00A56295" w:rsidRPr="004101D7" w:rsidRDefault="00A56295" w:rsidP="00A56295">
      <w:pPr>
        <w:widowControl/>
        <w:shd w:val="clear" w:color="auto" w:fill="F9F9F9"/>
        <w:spacing w:line="480" w:lineRule="atLeast"/>
        <w:jc w:val="left"/>
        <w:outlineLvl w:val="0"/>
        <w:rPr>
          <w:rFonts w:asciiTheme="minorEastAsia" w:eastAsiaTheme="minorEastAsia" w:hAnsiTheme="minorEastAsia" w:cs="宋体"/>
          <w:bCs/>
          <w:color w:val="333333"/>
          <w:kern w:val="36"/>
          <w:sz w:val="28"/>
          <w:szCs w:val="28"/>
        </w:rPr>
      </w:pPr>
      <w:r w:rsidRPr="004101D7">
        <w:rPr>
          <w:rFonts w:asciiTheme="minorEastAsia" w:eastAsiaTheme="minorEastAsia" w:hAnsiTheme="minorEastAsia" w:hint="eastAsia"/>
          <w:sz w:val="28"/>
          <w:szCs w:val="28"/>
        </w:rPr>
        <w:t>Δ</w:t>
      </w:r>
      <w:r w:rsidRPr="004101D7">
        <w:rPr>
          <w:rFonts w:asciiTheme="minorEastAsia" w:eastAsiaTheme="minorEastAsia" w:hAnsiTheme="minorEastAsia" w:cs="宋体" w:hint="eastAsia"/>
          <w:bCs/>
          <w:color w:val="333333"/>
          <w:kern w:val="36"/>
          <w:sz w:val="28"/>
          <w:szCs w:val="28"/>
        </w:rPr>
        <w:t>工信部公告发布</w:t>
      </w:r>
      <w:r w:rsidRPr="004101D7">
        <w:rPr>
          <w:rFonts w:asciiTheme="minorEastAsia" w:eastAsiaTheme="minorEastAsia" w:hAnsiTheme="minorEastAsia" w:hint="eastAsia"/>
          <w:color w:val="070707"/>
          <w:sz w:val="28"/>
          <w:szCs w:val="28"/>
        </w:rPr>
        <w:t>《产业发展与转移指导目录（</w:t>
      </w:r>
      <w:r w:rsidRPr="004101D7">
        <w:rPr>
          <w:rFonts w:asciiTheme="minorEastAsia" w:eastAsiaTheme="minorEastAsia" w:hAnsiTheme="minorEastAsia"/>
          <w:color w:val="070707"/>
          <w:sz w:val="28"/>
          <w:szCs w:val="28"/>
        </w:rPr>
        <w:t>2018</w:t>
      </w:r>
      <w:r w:rsidRPr="004101D7">
        <w:rPr>
          <w:rFonts w:asciiTheme="minorEastAsia" w:eastAsiaTheme="minorEastAsia" w:hAnsiTheme="minorEastAsia" w:hint="eastAsia"/>
          <w:color w:val="070707"/>
          <w:sz w:val="28"/>
          <w:szCs w:val="28"/>
        </w:rPr>
        <w:t>年本）》</w:t>
      </w:r>
    </w:p>
    <w:p w:rsidR="00A56295" w:rsidRPr="00080C4D" w:rsidRDefault="00A56295" w:rsidP="00A56295">
      <w:pPr>
        <w:rPr>
          <w:sz w:val="28"/>
          <w:szCs w:val="28"/>
        </w:rPr>
      </w:pPr>
      <w:r w:rsidRPr="00080C4D">
        <w:rPr>
          <w:rFonts w:hint="eastAsia"/>
          <w:sz w:val="28"/>
          <w:szCs w:val="28"/>
        </w:rPr>
        <w:t>Δ专家解读《有毒有害大气污染物名录（第一批）（征求意见稿）》</w:t>
      </w:r>
    </w:p>
    <w:p w:rsidR="00A56295" w:rsidRPr="009D58CA" w:rsidRDefault="00A56295" w:rsidP="00A56295">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A56295" w:rsidRPr="0027190F" w:rsidRDefault="00A56295" w:rsidP="0027190F">
      <w:pPr>
        <w:rPr>
          <w:sz w:val="28"/>
          <w:szCs w:val="28"/>
        </w:rPr>
      </w:pPr>
      <w:r w:rsidRPr="00AF758F">
        <w:rPr>
          <w:rFonts w:hint="eastAsia"/>
          <w:sz w:val="28"/>
          <w:szCs w:val="28"/>
        </w:rPr>
        <w:t>Δ</w:t>
      </w:r>
      <w:r w:rsidRPr="0027190F">
        <w:rPr>
          <w:sz w:val="28"/>
          <w:szCs w:val="28"/>
        </w:rPr>
        <w:t>煤焦油加氢废气利用通过鉴定</w:t>
      </w:r>
    </w:p>
    <w:p w:rsidR="00A56295" w:rsidRPr="0027190F" w:rsidRDefault="00A56295" w:rsidP="0027190F">
      <w:pPr>
        <w:rPr>
          <w:sz w:val="28"/>
          <w:szCs w:val="28"/>
        </w:rPr>
      </w:pPr>
      <w:r w:rsidRPr="00AF758F">
        <w:rPr>
          <w:rFonts w:hint="eastAsia"/>
          <w:sz w:val="28"/>
          <w:szCs w:val="28"/>
        </w:rPr>
        <w:t>Δ</w:t>
      </w:r>
      <w:r w:rsidRPr="0027190F">
        <w:rPr>
          <w:sz w:val="28"/>
          <w:szCs w:val="28"/>
        </w:rPr>
        <w:t>超薄多孔新材料轻松</w:t>
      </w:r>
      <w:r w:rsidRPr="0027190F">
        <w:rPr>
          <w:sz w:val="28"/>
          <w:szCs w:val="28"/>
        </w:rPr>
        <w:t>“</w:t>
      </w:r>
      <w:r w:rsidRPr="0027190F">
        <w:rPr>
          <w:sz w:val="28"/>
          <w:szCs w:val="28"/>
        </w:rPr>
        <w:t>捕获</w:t>
      </w:r>
      <w:r w:rsidRPr="0027190F">
        <w:rPr>
          <w:sz w:val="28"/>
          <w:szCs w:val="28"/>
        </w:rPr>
        <w:t>”</w:t>
      </w:r>
      <w:r w:rsidRPr="0027190F">
        <w:rPr>
          <w:sz w:val="28"/>
          <w:szCs w:val="28"/>
        </w:rPr>
        <w:t>二氧化碳</w:t>
      </w:r>
    </w:p>
    <w:p w:rsidR="000A3C39" w:rsidRPr="0027190F" w:rsidRDefault="000A3C39">
      <w:pPr>
        <w:rPr>
          <w:rFonts w:hint="eastAsia"/>
          <w:sz w:val="28"/>
          <w:szCs w:val="28"/>
        </w:rPr>
      </w:pPr>
    </w:p>
    <w:p w:rsidR="00923BF5" w:rsidRDefault="00923BF5">
      <w:pPr>
        <w:rPr>
          <w:rFonts w:hint="eastAsia"/>
        </w:rPr>
      </w:pPr>
    </w:p>
    <w:p w:rsidR="00923BF5" w:rsidRPr="00A06D72" w:rsidRDefault="00923BF5" w:rsidP="00923BF5">
      <w:pPr>
        <w:rPr>
          <w:rFonts w:ascii="仿宋" w:eastAsia="仿宋" w:hAnsi="仿宋"/>
          <w:sz w:val="28"/>
          <w:szCs w:val="28"/>
          <w:bdr w:val="single" w:sz="4" w:space="0" w:color="auto"/>
        </w:rPr>
      </w:pPr>
      <w:r w:rsidRPr="00A06D72">
        <w:rPr>
          <w:rFonts w:ascii="仿宋" w:eastAsia="仿宋" w:hAnsi="仿宋" w:hint="eastAsia"/>
          <w:sz w:val="28"/>
          <w:szCs w:val="28"/>
          <w:bdr w:val="single" w:sz="4" w:space="0" w:color="auto"/>
        </w:rPr>
        <w:lastRenderedPageBreak/>
        <w:t>政府信息</w:t>
      </w:r>
    </w:p>
    <w:p w:rsidR="00923BF5" w:rsidRDefault="00923BF5" w:rsidP="00923BF5">
      <w:pPr>
        <w:jc w:val="center"/>
        <w:rPr>
          <w:rFonts w:asciiTheme="majorEastAsia" w:eastAsiaTheme="majorEastAsia" w:hAnsiTheme="majorEastAsia" w:hint="eastAsia"/>
          <w:b/>
          <w:sz w:val="28"/>
          <w:szCs w:val="28"/>
        </w:rPr>
      </w:pPr>
    </w:p>
    <w:p w:rsidR="00923BF5" w:rsidRPr="003B24D9" w:rsidRDefault="00923BF5" w:rsidP="00923BF5">
      <w:pPr>
        <w:jc w:val="center"/>
        <w:rPr>
          <w:rFonts w:asciiTheme="majorEastAsia" w:eastAsiaTheme="majorEastAsia" w:hAnsiTheme="majorEastAsia"/>
          <w:b/>
          <w:sz w:val="24"/>
        </w:rPr>
      </w:pPr>
      <w:r>
        <w:rPr>
          <w:rFonts w:asciiTheme="majorEastAsia" w:eastAsiaTheme="majorEastAsia" w:hAnsiTheme="majorEastAsia" w:hint="eastAsia"/>
          <w:b/>
          <w:sz w:val="28"/>
          <w:szCs w:val="28"/>
        </w:rPr>
        <w:t>环境部</w:t>
      </w:r>
      <w:r w:rsidRPr="003B24D9">
        <w:rPr>
          <w:rFonts w:asciiTheme="majorEastAsia" w:eastAsiaTheme="majorEastAsia" w:hAnsiTheme="majorEastAsia" w:hint="eastAsia"/>
          <w:b/>
          <w:sz w:val="28"/>
          <w:szCs w:val="28"/>
        </w:rPr>
        <w:t>发布《国家大气污染物排放标准制订技术导则》等两项国家环境保护标准</w:t>
      </w:r>
    </w:p>
    <w:p w:rsidR="00923BF5" w:rsidRDefault="00923BF5" w:rsidP="00923BF5">
      <w:pPr>
        <w:rPr>
          <w:rFonts w:ascii="仿宋" w:eastAsia="仿宋" w:hAnsi="仿宋"/>
          <w:sz w:val="24"/>
        </w:rPr>
      </w:pPr>
    </w:p>
    <w:p w:rsidR="00923BF5" w:rsidRDefault="00923BF5" w:rsidP="00923BF5">
      <w:pPr>
        <w:rPr>
          <w:rFonts w:ascii="仿宋" w:eastAsia="仿宋" w:hAnsi="仿宋"/>
          <w:sz w:val="24"/>
        </w:rPr>
      </w:pPr>
    </w:p>
    <w:p w:rsidR="00923BF5" w:rsidRPr="003B24D9" w:rsidRDefault="00923BF5" w:rsidP="00923BF5">
      <w:pPr>
        <w:jc w:val="center"/>
        <w:rPr>
          <w:rFonts w:asciiTheme="minorEastAsia" w:eastAsiaTheme="minorEastAsia" w:hAnsiTheme="minorEastAsia"/>
          <w:sz w:val="28"/>
          <w:szCs w:val="28"/>
        </w:rPr>
      </w:pPr>
      <w:r w:rsidRPr="003B24D9">
        <w:rPr>
          <w:rFonts w:asciiTheme="minorEastAsia" w:eastAsiaTheme="minorEastAsia" w:hAnsiTheme="minorEastAsia" w:hint="eastAsia"/>
          <w:sz w:val="28"/>
          <w:szCs w:val="28"/>
        </w:rPr>
        <w:t>关于发布《国家大气污染物排放标准制订技术导则》等两项</w:t>
      </w:r>
    </w:p>
    <w:p w:rsidR="00923BF5" w:rsidRPr="003B24D9" w:rsidRDefault="00923BF5" w:rsidP="00923BF5">
      <w:pPr>
        <w:jc w:val="center"/>
        <w:rPr>
          <w:rFonts w:asciiTheme="minorEastAsia" w:eastAsiaTheme="minorEastAsia" w:hAnsiTheme="minorEastAsia"/>
          <w:sz w:val="28"/>
          <w:szCs w:val="28"/>
        </w:rPr>
      </w:pPr>
      <w:r w:rsidRPr="003B24D9">
        <w:rPr>
          <w:rFonts w:asciiTheme="minorEastAsia" w:eastAsiaTheme="minorEastAsia" w:hAnsiTheme="minorEastAsia" w:hint="eastAsia"/>
          <w:sz w:val="28"/>
          <w:szCs w:val="28"/>
        </w:rPr>
        <w:t>国家环境保护标准的公告</w:t>
      </w:r>
    </w:p>
    <w:p w:rsidR="00923BF5" w:rsidRPr="00A06D72" w:rsidRDefault="00923BF5" w:rsidP="00923BF5">
      <w:pPr>
        <w:spacing w:line="440" w:lineRule="exact"/>
        <w:jc w:val="center"/>
        <w:rPr>
          <w:rFonts w:ascii="仿宋" w:eastAsia="仿宋" w:hAnsi="仿宋"/>
          <w:sz w:val="24"/>
        </w:rPr>
      </w:pPr>
      <w:r w:rsidRPr="00A06D72">
        <w:rPr>
          <w:rFonts w:ascii="仿宋" w:eastAsia="仿宋" w:hAnsi="仿宋" w:hint="eastAsia"/>
          <w:sz w:val="24"/>
        </w:rPr>
        <w:t>公告 2018年 第65号</w:t>
      </w:r>
    </w:p>
    <w:p w:rsidR="00923BF5" w:rsidRDefault="00923BF5" w:rsidP="00923BF5">
      <w:pPr>
        <w:spacing w:line="440" w:lineRule="exact"/>
        <w:rPr>
          <w:rFonts w:ascii="仿宋" w:eastAsia="仿宋" w:hAnsi="仿宋"/>
          <w:sz w:val="24"/>
        </w:rPr>
      </w:pPr>
    </w:p>
    <w:p w:rsidR="00923BF5" w:rsidRPr="00A06D72" w:rsidRDefault="00923BF5" w:rsidP="00923BF5">
      <w:pPr>
        <w:spacing w:line="440" w:lineRule="exact"/>
        <w:rPr>
          <w:rFonts w:ascii="仿宋" w:eastAsia="仿宋" w:hAnsi="仿宋"/>
          <w:sz w:val="24"/>
        </w:rPr>
      </w:pPr>
      <w:r>
        <w:rPr>
          <w:rFonts w:ascii="仿宋" w:eastAsia="仿宋" w:hAnsi="仿宋" w:hint="eastAsia"/>
          <w:sz w:val="24"/>
        </w:rPr>
        <w:t xml:space="preserve">    </w:t>
      </w:r>
      <w:r w:rsidRPr="00A06D72">
        <w:rPr>
          <w:rFonts w:ascii="仿宋" w:eastAsia="仿宋" w:hAnsi="仿宋" w:hint="eastAsia"/>
          <w:sz w:val="24"/>
        </w:rPr>
        <w:t>为贯彻《中华人民共和国环境保护法》和《中华人民共和国大气污染防治法》《中华人民共和国水污染防治法》，规范国家大气污染物排放标准和国家水污染物排放标准制订工作，指导地方大气污染物排放标准和地方水污染物排放标准制订工作，现批准《国家大气污染物排放标准制订技术导则》等两项国家环境保护标准，并予发布。</w:t>
      </w:r>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标准名称、编号如下：</w:t>
      </w:r>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w:t>
      </w:r>
      <w:hyperlink r:id="rId4" w:history="1">
        <w:r w:rsidRPr="00A06D72">
          <w:rPr>
            <w:rStyle w:val="a4"/>
            <w:rFonts w:ascii="仿宋" w:eastAsia="仿宋" w:hAnsi="仿宋" w:hint="eastAsia"/>
            <w:sz w:val="24"/>
          </w:rPr>
          <w:t>一、国家大气污染物排放标准制订技术导则（HJ 945.1-2018）；</w:t>
        </w:r>
      </w:hyperlink>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w:t>
      </w:r>
      <w:hyperlink r:id="rId5" w:history="1">
        <w:r w:rsidRPr="00A06D72">
          <w:rPr>
            <w:rStyle w:val="a4"/>
            <w:rFonts w:ascii="仿宋" w:eastAsia="仿宋" w:hAnsi="仿宋" w:hint="eastAsia"/>
            <w:sz w:val="24"/>
          </w:rPr>
          <w:t>二、国家水污染物排放标准制订技术导则（HJ 945.2-2018）。</w:t>
        </w:r>
      </w:hyperlink>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以上标准自2019年1月1日起实施，由中国环境出版集团出版，标准内容可在生态环境部网站（www.mee.gov.cn）查询。</w:t>
      </w:r>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特此公告。</w:t>
      </w:r>
    </w:p>
    <w:p w:rsidR="00923BF5" w:rsidRDefault="00923BF5" w:rsidP="00923BF5">
      <w:pPr>
        <w:spacing w:line="440" w:lineRule="exact"/>
        <w:rPr>
          <w:rFonts w:ascii="仿宋" w:eastAsia="仿宋" w:hAnsi="仿宋"/>
          <w:sz w:val="24"/>
        </w:rPr>
      </w:pPr>
      <w:r w:rsidRPr="00A06D72">
        <w:rPr>
          <w:rFonts w:ascii="仿宋" w:eastAsia="仿宋" w:hAnsi="仿宋" w:hint="eastAsia"/>
          <w:sz w:val="24"/>
        </w:rPr>
        <w:t xml:space="preserve">　　</w:t>
      </w:r>
    </w:p>
    <w:p w:rsidR="00923BF5" w:rsidRPr="00A06D72" w:rsidRDefault="00923BF5" w:rsidP="00923BF5">
      <w:pPr>
        <w:spacing w:line="440" w:lineRule="exact"/>
        <w:rPr>
          <w:rFonts w:ascii="仿宋" w:eastAsia="仿宋" w:hAnsi="仿宋"/>
          <w:sz w:val="24"/>
        </w:rPr>
      </w:pPr>
      <w:r>
        <w:rPr>
          <w:rFonts w:ascii="仿宋" w:eastAsia="仿宋" w:hAnsi="仿宋" w:hint="eastAsia"/>
          <w:sz w:val="24"/>
        </w:rPr>
        <w:t xml:space="preserve">                                                        </w:t>
      </w:r>
      <w:r w:rsidRPr="00A06D72">
        <w:rPr>
          <w:rFonts w:ascii="仿宋" w:eastAsia="仿宋" w:hAnsi="仿宋" w:hint="eastAsia"/>
          <w:sz w:val="24"/>
        </w:rPr>
        <w:t>生态环境部</w:t>
      </w:r>
    </w:p>
    <w:p w:rsidR="00923BF5" w:rsidRPr="00A06D72" w:rsidRDefault="00923BF5" w:rsidP="00923BF5">
      <w:pPr>
        <w:spacing w:line="440" w:lineRule="exact"/>
        <w:rPr>
          <w:rFonts w:ascii="仿宋" w:eastAsia="仿宋" w:hAnsi="仿宋"/>
          <w:sz w:val="24"/>
        </w:rPr>
      </w:pPr>
      <w:r w:rsidRPr="00A06D72">
        <w:rPr>
          <w:rFonts w:ascii="仿宋" w:eastAsia="仿宋" w:hAnsi="仿宋" w:hint="eastAsia"/>
          <w:sz w:val="24"/>
        </w:rPr>
        <w:t xml:space="preserve">　</w:t>
      </w:r>
      <w:r>
        <w:rPr>
          <w:rFonts w:ascii="仿宋" w:eastAsia="仿宋" w:hAnsi="仿宋" w:hint="eastAsia"/>
          <w:sz w:val="24"/>
        </w:rPr>
        <w:t xml:space="preserve">                                                 </w:t>
      </w:r>
      <w:r w:rsidRPr="00A06D72">
        <w:rPr>
          <w:rFonts w:ascii="仿宋" w:eastAsia="仿宋" w:hAnsi="仿宋" w:hint="eastAsia"/>
          <w:sz w:val="24"/>
        </w:rPr>
        <w:t xml:space="preserve">　2018年12月19日</w:t>
      </w:r>
    </w:p>
    <w:p w:rsidR="00923BF5" w:rsidRDefault="00923BF5" w:rsidP="00923BF5">
      <w:pPr>
        <w:spacing w:line="440" w:lineRule="exact"/>
        <w:rPr>
          <w:rFonts w:ascii="仿宋" w:eastAsia="仿宋" w:hAnsi="仿宋"/>
          <w:sz w:val="24"/>
        </w:rPr>
      </w:pPr>
      <w:r w:rsidRPr="00A06D72">
        <w:rPr>
          <w:rFonts w:ascii="仿宋" w:eastAsia="仿宋" w:hAnsi="仿宋" w:hint="eastAsia"/>
          <w:sz w:val="24"/>
        </w:rPr>
        <w:t xml:space="preserve">　　</w:t>
      </w:r>
    </w:p>
    <w:p w:rsidR="00923BF5" w:rsidRPr="00A06D72" w:rsidRDefault="00923BF5" w:rsidP="00923BF5">
      <w:pPr>
        <w:spacing w:line="440" w:lineRule="exact"/>
        <w:rPr>
          <w:rFonts w:ascii="仿宋" w:eastAsia="仿宋" w:hAnsi="仿宋"/>
          <w:sz w:val="24"/>
        </w:rPr>
      </w:pPr>
    </w:p>
    <w:p w:rsidR="00923BF5" w:rsidRDefault="00923BF5">
      <w:pPr>
        <w:rPr>
          <w:rFonts w:hint="eastAsia"/>
          <w:sz w:val="28"/>
          <w:szCs w:val="28"/>
        </w:rPr>
      </w:pPr>
    </w:p>
    <w:p w:rsidR="00923BF5" w:rsidRDefault="00923BF5">
      <w:pPr>
        <w:rPr>
          <w:rFonts w:hint="eastAsia"/>
          <w:sz w:val="28"/>
          <w:szCs w:val="28"/>
        </w:rPr>
      </w:pPr>
    </w:p>
    <w:p w:rsidR="00923BF5" w:rsidRDefault="00923BF5">
      <w:pPr>
        <w:rPr>
          <w:rFonts w:hint="eastAsia"/>
          <w:sz w:val="28"/>
          <w:szCs w:val="28"/>
        </w:rPr>
      </w:pPr>
    </w:p>
    <w:p w:rsidR="00923BF5" w:rsidRDefault="00923BF5">
      <w:pPr>
        <w:rPr>
          <w:rFonts w:hint="eastAsia"/>
          <w:sz w:val="28"/>
          <w:szCs w:val="28"/>
        </w:rPr>
      </w:pPr>
    </w:p>
    <w:p w:rsidR="002B3F8F" w:rsidRPr="00290E74" w:rsidRDefault="002B3F8F" w:rsidP="002B3F8F">
      <w:pPr>
        <w:rPr>
          <w:sz w:val="24"/>
          <w:bdr w:val="single" w:sz="4" w:space="0" w:color="auto"/>
        </w:rPr>
      </w:pPr>
      <w:r>
        <w:rPr>
          <w:rFonts w:hint="eastAsia"/>
          <w:sz w:val="24"/>
          <w:bdr w:val="single" w:sz="4" w:space="0" w:color="auto"/>
        </w:rPr>
        <w:lastRenderedPageBreak/>
        <w:t>政府</w:t>
      </w:r>
      <w:r w:rsidRPr="00290E74">
        <w:rPr>
          <w:rFonts w:hint="eastAsia"/>
          <w:sz w:val="24"/>
          <w:bdr w:val="single" w:sz="4" w:space="0" w:color="auto"/>
        </w:rPr>
        <w:t>信息</w:t>
      </w:r>
    </w:p>
    <w:p w:rsidR="002B3F8F" w:rsidRDefault="002B3F8F" w:rsidP="002B3F8F">
      <w:pPr>
        <w:rPr>
          <w:sz w:val="24"/>
        </w:rPr>
      </w:pPr>
    </w:p>
    <w:p w:rsidR="002B3F8F" w:rsidRPr="007311E6" w:rsidRDefault="002B3F8F" w:rsidP="002B3F8F">
      <w:pPr>
        <w:jc w:val="center"/>
        <w:rPr>
          <w:sz w:val="28"/>
          <w:szCs w:val="28"/>
        </w:rPr>
      </w:pPr>
      <w:r w:rsidRPr="007311E6">
        <w:rPr>
          <w:rFonts w:hint="eastAsia"/>
          <w:sz w:val="28"/>
          <w:szCs w:val="28"/>
        </w:rPr>
        <w:t>工信部公布</w:t>
      </w:r>
      <w:r w:rsidRPr="007311E6">
        <w:rPr>
          <w:rFonts w:hint="eastAsia"/>
          <w:sz w:val="28"/>
          <w:szCs w:val="28"/>
        </w:rPr>
        <w:t>2019</w:t>
      </w:r>
      <w:r w:rsidRPr="007311E6">
        <w:rPr>
          <w:rFonts w:hint="eastAsia"/>
          <w:sz w:val="28"/>
          <w:szCs w:val="28"/>
        </w:rPr>
        <w:t>年取消部分证明事项</w:t>
      </w:r>
    </w:p>
    <w:p w:rsidR="002B3F8F" w:rsidRDefault="002B3F8F" w:rsidP="002B3F8F">
      <w:pPr>
        <w:rPr>
          <w:sz w:val="24"/>
        </w:rPr>
      </w:pPr>
    </w:p>
    <w:p w:rsidR="002B3F8F" w:rsidRPr="007311E6" w:rsidRDefault="002B3F8F" w:rsidP="002B3F8F">
      <w:pPr>
        <w:jc w:val="center"/>
        <w:rPr>
          <w:sz w:val="28"/>
          <w:szCs w:val="28"/>
        </w:rPr>
      </w:pPr>
      <w:r w:rsidRPr="007311E6">
        <w:rPr>
          <w:rFonts w:hint="eastAsia"/>
          <w:sz w:val="28"/>
          <w:szCs w:val="28"/>
        </w:rPr>
        <w:t>中华人民共和国工业和信息化部</w:t>
      </w:r>
    </w:p>
    <w:p w:rsidR="002B3F8F" w:rsidRPr="00AD411B" w:rsidRDefault="002B3F8F" w:rsidP="002B3F8F">
      <w:pPr>
        <w:jc w:val="center"/>
        <w:rPr>
          <w:sz w:val="24"/>
        </w:rPr>
      </w:pPr>
      <w:r>
        <w:rPr>
          <w:rFonts w:hint="eastAsia"/>
          <w:sz w:val="24"/>
        </w:rPr>
        <w:t>部</w:t>
      </w:r>
      <w:r w:rsidRPr="00AD411B">
        <w:rPr>
          <w:rFonts w:hint="eastAsia"/>
          <w:sz w:val="24"/>
        </w:rPr>
        <w:t>令第</w:t>
      </w:r>
      <w:r w:rsidRPr="00AD411B">
        <w:rPr>
          <w:rFonts w:hint="eastAsia"/>
          <w:sz w:val="24"/>
        </w:rPr>
        <w:t>51</w:t>
      </w:r>
      <w:r w:rsidRPr="00AD411B">
        <w:rPr>
          <w:rFonts w:hint="eastAsia"/>
          <w:sz w:val="24"/>
        </w:rPr>
        <w:t>号</w:t>
      </w:r>
    </w:p>
    <w:p w:rsidR="002B3F8F" w:rsidRDefault="002B3F8F" w:rsidP="002B3F8F">
      <w:pPr>
        <w:rPr>
          <w:sz w:val="24"/>
        </w:rPr>
      </w:pPr>
    </w:p>
    <w:p w:rsidR="002B3F8F" w:rsidRPr="00E9061C" w:rsidRDefault="002B3F8F" w:rsidP="002B3F8F">
      <w:pPr>
        <w:spacing w:line="440" w:lineRule="exact"/>
        <w:rPr>
          <w:rFonts w:ascii="仿宋" w:eastAsia="仿宋" w:hAnsi="仿宋"/>
          <w:sz w:val="24"/>
        </w:rPr>
      </w:pPr>
      <w:r>
        <w:rPr>
          <w:rFonts w:hint="eastAsia"/>
          <w:sz w:val="24"/>
        </w:rPr>
        <w:t xml:space="preserve">    </w:t>
      </w:r>
      <w:r w:rsidRPr="00E9061C">
        <w:rPr>
          <w:rFonts w:ascii="仿宋" w:eastAsia="仿宋" w:hAnsi="仿宋" w:hint="eastAsia"/>
          <w:sz w:val="24"/>
        </w:rPr>
        <w:t>现公布工业和信息化部关于取消部分部门规章和规范性文件等设定的证明事项的决定，相关证明事项自公布之日起取消。</w:t>
      </w:r>
    </w:p>
    <w:p w:rsidR="002B3F8F" w:rsidRPr="00E9061C" w:rsidRDefault="002B3F8F" w:rsidP="002B3F8F">
      <w:pPr>
        <w:spacing w:line="440" w:lineRule="exact"/>
        <w:rPr>
          <w:rFonts w:ascii="仿宋" w:eastAsia="仿宋" w:hAnsi="仿宋"/>
          <w:sz w:val="24"/>
        </w:rPr>
      </w:pPr>
      <w:r w:rsidRPr="00E9061C">
        <w:rPr>
          <w:rFonts w:eastAsia="仿宋" w:hint="eastAsia"/>
          <w:sz w:val="24"/>
        </w:rPr>
        <w:t>   </w:t>
      </w:r>
    </w:p>
    <w:p w:rsidR="002B3F8F" w:rsidRPr="00E9061C" w:rsidRDefault="002B3F8F" w:rsidP="002B3F8F">
      <w:pPr>
        <w:spacing w:line="440" w:lineRule="exact"/>
        <w:rPr>
          <w:rFonts w:ascii="仿宋" w:eastAsia="仿宋" w:hAnsi="仿宋"/>
          <w:sz w:val="24"/>
        </w:rPr>
      </w:pPr>
      <w:r w:rsidRPr="00E9061C">
        <w:rPr>
          <w:rFonts w:ascii="仿宋" w:eastAsia="仿宋" w:hAnsi="仿宋" w:hint="eastAsia"/>
          <w:sz w:val="24"/>
        </w:rPr>
        <w:t xml:space="preserve">                                             部长</w:t>
      </w:r>
      <w:r w:rsidRPr="00E9061C">
        <w:rPr>
          <w:rFonts w:eastAsia="仿宋" w:hint="eastAsia"/>
          <w:sz w:val="24"/>
        </w:rPr>
        <w:t>  </w:t>
      </w:r>
      <w:r w:rsidRPr="00E9061C">
        <w:rPr>
          <w:rFonts w:ascii="仿宋" w:eastAsia="仿宋" w:hAnsi="仿宋" w:hint="eastAsia"/>
          <w:sz w:val="24"/>
        </w:rPr>
        <w:t xml:space="preserve"> 苗圩</w:t>
      </w:r>
    </w:p>
    <w:p w:rsidR="002B3F8F" w:rsidRPr="007311E6" w:rsidRDefault="002B3F8F" w:rsidP="002B3F8F">
      <w:r w:rsidRPr="00E9061C">
        <w:rPr>
          <w:rFonts w:ascii="仿宋" w:eastAsia="仿宋" w:hAnsi="仿宋" w:hint="eastAsia"/>
          <w:sz w:val="24"/>
        </w:rPr>
        <w:t xml:space="preserve">                                           2018年12月29日</w:t>
      </w:r>
      <w:r w:rsidRPr="00E9061C">
        <w:rPr>
          <w:rFonts w:ascii="仿宋" w:eastAsia="仿宋" w:hAnsi="仿宋" w:hint="eastAsia"/>
          <w:sz w:val="24"/>
        </w:rPr>
        <w:br/>
      </w:r>
      <w:r w:rsidRPr="007311E6">
        <w:rPr>
          <w:rFonts w:hint="eastAsia"/>
        </w:rPr>
        <w:t> </w:t>
      </w:r>
    </w:p>
    <w:p w:rsidR="002B3F8F" w:rsidRPr="007311E6" w:rsidRDefault="002B3F8F" w:rsidP="002B3F8F">
      <w:pPr>
        <w:rPr>
          <w:sz w:val="24"/>
        </w:rPr>
      </w:pPr>
      <w:r w:rsidRPr="007311E6">
        <w:rPr>
          <w:rFonts w:hint="eastAsia"/>
          <w:sz w:val="24"/>
        </w:rPr>
        <w:t>附件：</w:t>
      </w:r>
      <w:hyperlink r:id="rId6" w:history="1">
        <w:r w:rsidRPr="007311E6">
          <w:rPr>
            <w:rStyle w:val="a4"/>
            <w:rFonts w:hint="eastAsia"/>
            <w:sz w:val="24"/>
          </w:rPr>
          <w:t>1.</w:t>
        </w:r>
        <w:r w:rsidRPr="007311E6">
          <w:rPr>
            <w:rStyle w:val="a4"/>
            <w:rFonts w:hint="eastAsia"/>
            <w:sz w:val="24"/>
          </w:rPr>
          <w:t>取消的部门规章设定的证明事项目录</w:t>
        </w:r>
      </w:hyperlink>
    </w:p>
    <w:p w:rsidR="002B3F8F" w:rsidRPr="007311E6" w:rsidRDefault="002B3F8F" w:rsidP="002B3F8F">
      <w:pPr>
        <w:rPr>
          <w:sz w:val="24"/>
        </w:rPr>
      </w:pPr>
      <w:r w:rsidRPr="007311E6">
        <w:rPr>
          <w:rFonts w:hint="eastAsia"/>
          <w:sz w:val="24"/>
        </w:rPr>
        <w:t>  </w:t>
      </w:r>
      <w:r>
        <w:rPr>
          <w:rFonts w:hint="eastAsia"/>
          <w:sz w:val="24"/>
        </w:rPr>
        <w:t xml:space="preserve">     </w:t>
      </w:r>
      <w:r w:rsidRPr="007311E6">
        <w:rPr>
          <w:rFonts w:hint="eastAsia"/>
          <w:sz w:val="24"/>
        </w:rPr>
        <w:t> </w:t>
      </w:r>
      <w:hyperlink r:id="rId7" w:tgtFrame="_blank" w:history="1">
        <w:r w:rsidRPr="007311E6">
          <w:rPr>
            <w:rStyle w:val="a4"/>
            <w:rFonts w:hint="eastAsia"/>
            <w:sz w:val="24"/>
          </w:rPr>
          <w:t>2.</w:t>
        </w:r>
        <w:r w:rsidRPr="007311E6">
          <w:rPr>
            <w:rStyle w:val="a4"/>
            <w:rFonts w:hint="eastAsia"/>
            <w:sz w:val="24"/>
          </w:rPr>
          <w:t>取消的规范性文件等设定的证明事项目录</w:t>
        </w:r>
        <w:r w:rsidRPr="007311E6">
          <w:rPr>
            <w:rStyle w:val="a4"/>
            <w:rFonts w:hint="eastAsia"/>
            <w:sz w:val="24"/>
          </w:rPr>
          <w:t>.doc</w:t>
        </w:r>
      </w:hyperlink>
    </w:p>
    <w:p w:rsidR="002B3F8F" w:rsidRDefault="002B3F8F" w:rsidP="002B3F8F"/>
    <w:p w:rsidR="002B3F8F" w:rsidRDefault="002B3F8F" w:rsidP="002B3F8F"/>
    <w:p w:rsidR="002B3F8F" w:rsidRPr="007311E6" w:rsidRDefault="002B3F8F" w:rsidP="002B3F8F">
      <w:r>
        <w:rPr>
          <w:rFonts w:hint="eastAsia"/>
        </w:rPr>
        <w:t>附件</w:t>
      </w:r>
      <w:r>
        <w:rPr>
          <w:rFonts w:hint="eastAsia"/>
        </w:rPr>
        <w:t>1</w:t>
      </w:r>
    </w:p>
    <w:p w:rsidR="002B3F8F" w:rsidRPr="007311E6" w:rsidRDefault="002B3F8F" w:rsidP="002B3F8F">
      <w:pPr>
        <w:jc w:val="center"/>
        <w:rPr>
          <w:rFonts w:ascii="方正小标宋简体" w:eastAsia="方正小标宋简体" w:hAnsi="方正小标宋简体" w:cs="方正小标宋简体"/>
          <w:sz w:val="28"/>
          <w:szCs w:val="28"/>
        </w:rPr>
      </w:pPr>
      <w:r w:rsidRPr="007311E6">
        <w:rPr>
          <w:rFonts w:ascii="方正小标宋简体" w:eastAsia="方正小标宋简体" w:hAnsi="方正小标宋简体" w:cs="方正小标宋简体"/>
          <w:sz w:val="28"/>
          <w:szCs w:val="28"/>
        </w:rPr>
        <w:t>取消</w:t>
      </w:r>
      <w:r w:rsidRPr="007311E6">
        <w:rPr>
          <w:rFonts w:ascii="方正小标宋简体" w:eastAsia="方正小标宋简体" w:hAnsi="方正小标宋简体" w:cs="方正小标宋简体" w:hint="eastAsia"/>
          <w:sz w:val="28"/>
          <w:szCs w:val="28"/>
        </w:rPr>
        <w:t>的部门规章设定的证明事项目录</w:t>
      </w:r>
    </w:p>
    <w:p w:rsidR="002B3F8F" w:rsidRPr="007311E6" w:rsidRDefault="002B3F8F" w:rsidP="002B3F8F">
      <w:pPr>
        <w:jc w:val="center"/>
        <w:rPr>
          <w:rFonts w:ascii="方正小标宋简体" w:eastAsia="方正小标宋简体" w:hAnsi="方正小标宋简体" w:cs="方正小标宋简体"/>
          <w:sz w:val="24"/>
        </w:rPr>
      </w:pPr>
      <w:r w:rsidRPr="007311E6">
        <w:rPr>
          <w:rFonts w:ascii="方正小标宋简体" w:eastAsia="方正小标宋简体" w:hAnsi="方正小标宋简体" w:cs="方正小标宋简体" w:hint="eastAsia"/>
          <w:sz w:val="24"/>
        </w:rPr>
        <w:t>（共14项）</w:t>
      </w:r>
    </w:p>
    <w:p w:rsidR="002B3F8F" w:rsidRDefault="002B3F8F" w:rsidP="002B3F8F">
      <w:pPr>
        <w:rPr>
          <w:szCs w:val="21"/>
        </w:rPr>
      </w:pPr>
    </w:p>
    <w:tbl>
      <w:tblPr>
        <w:tblStyle w:val="a6"/>
        <w:tblW w:w="0" w:type="auto"/>
        <w:tblInd w:w="-128" w:type="dxa"/>
        <w:tblLayout w:type="fixed"/>
        <w:tblLook w:val="0000"/>
      </w:tblPr>
      <w:tblGrid>
        <w:gridCol w:w="880"/>
        <w:gridCol w:w="3395"/>
        <w:gridCol w:w="1819"/>
        <w:gridCol w:w="3225"/>
      </w:tblGrid>
      <w:tr w:rsidR="002B3F8F" w:rsidRPr="007311E6" w:rsidTr="00F223A6">
        <w:tc>
          <w:tcPr>
            <w:tcW w:w="880" w:type="dxa"/>
            <w:vAlign w:val="center"/>
          </w:tcPr>
          <w:p w:rsidR="002B3F8F" w:rsidRPr="007311E6" w:rsidRDefault="002B3F8F" w:rsidP="00F223A6">
            <w:pPr>
              <w:spacing w:line="480" w:lineRule="auto"/>
              <w:jc w:val="center"/>
              <w:rPr>
                <w:rFonts w:ascii="黑体" w:eastAsia="黑体" w:hAnsi="黑体" w:cs="黑体"/>
                <w:sz w:val="24"/>
              </w:rPr>
            </w:pPr>
            <w:r w:rsidRPr="007311E6">
              <w:rPr>
                <w:rFonts w:ascii="黑体" w:eastAsia="黑体" w:hAnsi="黑体" w:cs="黑体" w:hint="eastAsia"/>
                <w:sz w:val="24"/>
              </w:rPr>
              <w:t>序号</w:t>
            </w:r>
          </w:p>
        </w:tc>
        <w:tc>
          <w:tcPr>
            <w:tcW w:w="3395" w:type="dxa"/>
            <w:vAlign w:val="center"/>
          </w:tcPr>
          <w:p w:rsidR="002B3F8F" w:rsidRPr="007311E6" w:rsidRDefault="002B3F8F" w:rsidP="00F223A6">
            <w:pPr>
              <w:spacing w:line="480" w:lineRule="auto"/>
              <w:jc w:val="center"/>
              <w:rPr>
                <w:rFonts w:ascii="黑体" w:eastAsia="黑体" w:hAnsi="黑体" w:cs="黑体"/>
                <w:sz w:val="24"/>
              </w:rPr>
            </w:pPr>
            <w:r w:rsidRPr="007311E6">
              <w:rPr>
                <w:rFonts w:ascii="黑体" w:eastAsia="黑体" w:hAnsi="黑体" w:cs="黑体" w:hint="eastAsia"/>
                <w:sz w:val="24"/>
              </w:rPr>
              <w:t>证明</w:t>
            </w:r>
          </w:p>
        </w:tc>
        <w:tc>
          <w:tcPr>
            <w:tcW w:w="1819" w:type="dxa"/>
            <w:vAlign w:val="center"/>
          </w:tcPr>
          <w:p w:rsidR="002B3F8F" w:rsidRPr="007311E6" w:rsidRDefault="002B3F8F" w:rsidP="00F223A6">
            <w:pPr>
              <w:spacing w:line="480" w:lineRule="auto"/>
              <w:jc w:val="center"/>
              <w:rPr>
                <w:rFonts w:ascii="黑体" w:eastAsia="黑体" w:hAnsi="黑体" w:cs="黑体"/>
                <w:sz w:val="24"/>
              </w:rPr>
            </w:pPr>
            <w:r w:rsidRPr="007311E6">
              <w:rPr>
                <w:rFonts w:ascii="黑体" w:eastAsia="黑体" w:hAnsi="黑体" w:cs="黑体" w:hint="eastAsia"/>
                <w:sz w:val="24"/>
              </w:rPr>
              <w:t>用途</w:t>
            </w:r>
          </w:p>
        </w:tc>
        <w:tc>
          <w:tcPr>
            <w:tcW w:w="3225" w:type="dxa"/>
            <w:vAlign w:val="center"/>
          </w:tcPr>
          <w:p w:rsidR="002B3F8F" w:rsidRPr="007311E6" w:rsidRDefault="002B3F8F" w:rsidP="00F223A6">
            <w:pPr>
              <w:spacing w:line="480" w:lineRule="auto"/>
              <w:jc w:val="center"/>
              <w:rPr>
                <w:rFonts w:ascii="黑体" w:eastAsia="黑体" w:hAnsi="黑体" w:cs="黑体"/>
                <w:sz w:val="24"/>
              </w:rPr>
            </w:pPr>
            <w:r w:rsidRPr="007311E6">
              <w:rPr>
                <w:rFonts w:ascii="黑体" w:eastAsia="黑体" w:hAnsi="黑体" w:cs="黑体" w:hint="eastAsia"/>
                <w:sz w:val="24"/>
              </w:rPr>
              <w:t>依据</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工商营业执照原件及复印件</w:t>
            </w:r>
          </w:p>
        </w:tc>
        <w:tc>
          <w:tcPr>
            <w:tcW w:w="1819" w:type="dxa"/>
            <w:vMerge w:val="restart"/>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民用爆炸物品进出口审批</w:t>
            </w:r>
            <w:r w:rsidRPr="007311E6">
              <w:rPr>
                <w:rFonts w:eastAsia="仿宋"/>
                <w:sz w:val="24"/>
              </w:rPr>
              <w:t>”</w:t>
            </w:r>
          </w:p>
        </w:tc>
        <w:tc>
          <w:tcPr>
            <w:tcW w:w="3225" w:type="dxa"/>
            <w:vMerge w:val="restart"/>
            <w:vAlign w:val="center"/>
          </w:tcPr>
          <w:p w:rsidR="002B3F8F" w:rsidRPr="007311E6" w:rsidRDefault="002B3F8F" w:rsidP="00F223A6">
            <w:pPr>
              <w:widowControl/>
              <w:spacing w:line="360" w:lineRule="auto"/>
              <w:rPr>
                <w:rFonts w:eastAsia="仿宋"/>
                <w:sz w:val="24"/>
              </w:rPr>
            </w:pPr>
            <w:r w:rsidRPr="007311E6">
              <w:rPr>
                <w:rFonts w:eastAsia="仿宋"/>
                <w:sz w:val="24"/>
              </w:rPr>
              <w:t>《民用爆炸物品进出口管理办法》（工业和信息化部、公安部、海关总署令第</w:t>
            </w:r>
            <w:r w:rsidRPr="007311E6">
              <w:rPr>
                <w:rFonts w:eastAsia="仿宋"/>
                <w:sz w:val="24"/>
              </w:rPr>
              <w:t>21</w:t>
            </w:r>
            <w:r w:rsidRPr="007311E6">
              <w:rPr>
                <w:rFonts w:eastAsia="仿宋"/>
                <w:sz w:val="24"/>
              </w:rPr>
              <w:t>号）</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2</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《民用爆炸物品生产许可证》或者《民用爆炸物品销售许可证》原件及复印件</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3</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企业法定代表人、经办人的身份证明原件及复印件</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4</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仓储条件证明</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5</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满足行业安全要求的证明材料</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6</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符合国家有关安全运输标准的</w:t>
            </w:r>
            <w:r w:rsidRPr="007311E6">
              <w:rPr>
                <w:rFonts w:eastAsia="仿宋"/>
                <w:sz w:val="24"/>
              </w:rPr>
              <w:lastRenderedPageBreak/>
              <w:t>证明材料</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lastRenderedPageBreak/>
              <w:t>7</w:t>
            </w:r>
          </w:p>
        </w:tc>
        <w:tc>
          <w:tcPr>
            <w:tcW w:w="3395" w:type="dxa"/>
            <w:vAlign w:val="center"/>
          </w:tcPr>
          <w:p w:rsidR="002B3F8F" w:rsidRPr="007311E6" w:rsidRDefault="002B3F8F" w:rsidP="00F223A6">
            <w:pPr>
              <w:widowControl/>
              <w:spacing w:line="360" w:lineRule="auto"/>
              <w:rPr>
                <w:rFonts w:eastAsia="仿宋"/>
                <w:sz w:val="24"/>
              </w:rPr>
            </w:pPr>
            <w:r w:rsidRPr="007311E6">
              <w:rPr>
                <w:rFonts w:eastAsia="仿宋"/>
                <w:sz w:val="24"/>
              </w:rPr>
              <w:t>符合国家有关环保标准的证明材料</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8</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主要负责人、安全管理人员任职安全资格证书原件及复印件</w:t>
            </w:r>
          </w:p>
        </w:tc>
        <w:tc>
          <w:tcPr>
            <w:tcW w:w="1819" w:type="dxa"/>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民用爆炸物品销售许可</w:t>
            </w:r>
            <w:r w:rsidRPr="007311E6">
              <w:rPr>
                <w:rFonts w:eastAsia="仿宋"/>
                <w:sz w:val="24"/>
              </w:rPr>
              <w:t>”</w:t>
            </w:r>
          </w:p>
        </w:tc>
        <w:tc>
          <w:tcPr>
            <w:tcW w:w="3225" w:type="dxa"/>
          </w:tcPr>
          <w:p w:rsidR="002B3F8F" w:rsidRPr="007311E6" w:rsidRDefault="002B3F8F" w:rsidP="00F223A6">
            <w:pPr>
              <w:widowControl/>
              <w:spacing w:line="360" w:lineRule="auto"/>
              <w:jc w:val="left"/>
              <w:rPr>
                <w:rFonts w:eastAsia="仿宋"/>
                <w:sz w:val="24"/>
              </w:rPr>
            </w:pPr>
            <w:r w:rsidRPr="007311E6">
              <w:rPr>
                <w:rFonts w:eastAsia="仿宋"/>
                <w:sz w:val="24"/>
              </w:rPr>
              <w:t>《民用爆炸物品销售许可实施办法》（国防科技工业委员会令第</w:t>
            </w:r>
            <w:r w:rsidRPr="007311E6">
              <w:rPr>
                <w:rFonts w:eastAsia="仿宋"/>
                <w:sz w:val="24"/>
              </w:rPr>
              <w:t>18</w:t>
            </w:r>
            <w:r w:rsidRPr="007311E6">
              <w:rPr>
                <w:rFonts w:eastAsia="仿宋"/>
                <w:sz w:val="24"/>
              </w:rPr>
              <w:t>号，</w:t>
            </w:r>
            <w:r w:rsidRPr="007311E6">
              <w:rPr>
                <w:rFonts w:eastAsia="仿宋"/>
                <w:sz w:val="24"/>
              </w:rPr>
              <w:t>2015</w:t>
            </w:r>
            <w:r w:rsidRPr="007311E6">
              <w:rPr>
                <w:rFonts w:eastAsia="仿宋"/>
                <w:sz w:val="24"/>
              </w:rPr>
              <w:t>年修订）</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9</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国际通信基础设施经营许可证或国际电信业务经营许可证</w:t>
            </w:r>
          </w:p>
        </w:tc>
        <w:tc>
          <w:tcPr>
            <w:tcW w:w="1819" w:type="dxa"/>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国际通信出入口局设立审批</w:t>
            </w:r>
            <w:r w:rsidRPr="007311E6">
              <w:rPr>
                <w:rFonts w:eastAsia="仿宋"/>
                <w:sz w:val="24"/>
              </w:rPr>
              <w:t>”</w:t>
            </w:r>
          </w:p>
        </w:tc>
        <w:tc>
          <w:tcPr>
            <w:tcW w:w="3225" w:type="dxa"/>
          </w:tcPr>
          <w:p w:rsidR="002B3F8F" w:rsidRPr="007311E6" w:rsidRDefault="002B3F8F" w:rsidP="00F223A6">
            <w:pPr>
              <w:widowControl/>
              <w:spacing w:line="360" w:lineRule="auto"/>
              <w:jc w:val="left"/>
              <w:rPr>
                <w:rFonts w:eastAsia="仿宋"/>
                <w:sz w:val="24"/>
              </w:rPr>
            </w:pPr>
            <w:r w:rsidRPr="007311E6">
              <w:rPr>
                <w:rFonts w:eastAsia="仿宋"/>
                <w:sz w:val="24"/>
              </w:rPr>
              <w:t>《国际通信出入口局管理办法》（信息产业部令第</w:t>
            </w:r>
            <w:r w:rsidRPr="007311E6">
              <w:rPr>
                <w:rFonts w:eastAsia="仿宋"/>
                <w:sz w:val="24"/>
              </w:rPr>
              <w:t>22</w:t>
            </w:r>
            <w:r w:rsidRPr="007311E6">
              <w:rPr>
                <w:rFonts w:eastAsia="仿宋"/>
                <w:sz w:val="24"/>
              </w:rPr>
              <w:t>号）</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10</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无线电发射设备型号核准证</w:t>
            </w:r>
          </w:p>
        </w:tc>
        <w:tc>
          <w:tcPr>
            <w:tcW w:w="1819" w:type="dxa"/>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电信设备进网许可（含试用）审批</w:t>
            </w:r>
            <w:r w:rsidRPr="007311E6">
              <w:rPr>
                <w:rFonts w:eastAsia="仿宋"/>
                <w:sz w:val="24"/>
              </w:rPr>
              <w:t>”</w:t>
            </w:r>
          </w:p>
        </w:tc>
        <w:tc>
          <w:tcPr>
            <w:tcW w:w="3225" w:type="dxa"/>
          </w:tcPr>
          <w:p w:rsidR="002B3F8F" w:rsidRPr="007311E6" w:rsidRDefault="002B3F8F" w:rsidP="00F223A6">
            <w:pPr>
              <w:spacing w:line="360" w:lineRule="auto"/>
              <w:rPr>
                <w:rFonts w:eastAsia="仿宋"/>
                <w:sz w:val="24"/>
              </w:rPr>
            </w:pPr>
            <w:r w:rsidRPr="007311E6">
              <w:rPr>
                <w:rFonts w:eastAsia="仿宋"/>
                <w:sz w:val="24"/>
              </w:rPr>
              <w:t>《电信设备进网管理办法》（信息产业部令第</w:t>
            </w:r>
            <w:r w:rsidRPr="007311E6">
              <w:rPr>
                <w:rFonts w:eastAsia="仿宋"/>
                <w:sz w:val="24"/>
              </w:rPr>
              <w:t>11</w:t>
            </w:r>
            <w:r w:rsidRPr="007311E6">
              <w:rPr>
                <w:rFonts w:eastAsia="仿宋"/>
                <w:sz w:val="24"/>
              </w:rPr>
              <w:t>号，</w:t>
            </w:r>
            <w:r w:rsidRPr="007311E6">
              <w:rPr>
                <w:rFonts w:eastAsia="仿宋"/>
                <w:sz w:val="24"/>
              </w:rPr>
              <w:t>2014</w:t>
            </w:r>
            <w:r w:rsidRPr="007311E6">
              <w:rPr>
                <w:rFonts w:eastAsia="仿宋"/>
                <w:sz w:val="24"/>
              </w:rPr>
              <w:t>年修订）</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11</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电信业务经营许可证复印件</w:t>
            </w:r>
          </w:p>
        </w:tc>
        <w:tc>
          <w:tcPr>
            <w:tcW w:w="1819" w:type="dxa"/>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电信网码号资源使用和调整审批</w:t>
            </w:r>
            <w:r w:rsidRPr="007311E6">
              <w:rPr>
                <w:rFonts w:eastAsia="仿宋"/>
                <w:sz w:val="24"/>
              </w:rPr>
              <w:t>”</w:t>
            </w:r>
          </w:p>
        </w:tc>
        <w:tc>
          <w:tcPr>
            <w:tcW w:w="3225" w:type="dxa"/>
          </w:tcPr>
          <w:p w:rsidR="002B3F8F" w:rsidRPr="007311E6" w:rsidRDefault="002B3F8F" w:rsidP="00F223A6">
            <w:pPr>
              <w:widowControl/>
              <w:spacing w:line="360" w:lineRule="auto"/>
              <w:jc w:val="left"/>
              <w:rPr>
                <w:rFonts w:eastAsia="仿宋"/>
                <w:sz w:val="24"/>
              </w:rPr>
            </w:pPr>
            <w:r w:rsidRPr="007311E6">
              <w:rPr>
                <w:rFonts w:eastAsia="仿宋"/>
                <w:sz w:val="24"/>
              </w:rPr>
              <w:t>《电信网码号资源管理办法》（信息产业部令第</w:t>
            </w:r>
            <w:r w:rsidRPr="007311E6">
              <w:rPr>
                <w:rFonts w:eastAsia="仿宋"/>
                <w:sz w:val="24"/>
              </w:rPr>
              <w:t>28</w:t>
            </w:r>
            <w:r w:rsidRPr="007311E6">
              <w:rPr>
                <w:rFonts w:eastAsia="仿宋"/>
                <w:sz w:val="24"/>
              </w:rPr>
              <w:t>号，</w:t>
            </w:r>
            <w:r w:rsidRPr="007311E6">
              <w:rPr>
                <w:rFonts w:eastAsia="仿宋"/>
                <w:sz w:val="24"/>
              </w:rPr>
              <w:t>2014</w:t>
            </w:r>
            <w:r w:rsidRPr="007311E6">
              <w:rPr>
                <w:rFonts w:eastAsia="仿宋"/>
                <w:sz w:val="24"/>
              </w:rPr>
              <w:t>年修订）</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12</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业余无线电台操作证书（申请设置业</w:t>
            </w:r>
            <w:r w:rsidRPr="007311E6">
              <w:rPr>
                <w:rFonts w:eastAsia="仿宋" w:hint="eastAsia"/>
                <w:sz w:val="24"/>
              </w:rPr>
              <w:t>余</w:t>
            </w:r>
            <w:r w:rsidRPr="007311E6">
              <w:rPr>
                <w:rFonts w:eastAsia="仿宋"/>
                <w:sz w:val="24"/>
              </w:rPr>
              <w:t>无线电台）</w:t>
            </w:r>
          </w:p>
        </w:tc>
        <w:tc>
          <w:tcPr>
            <w:tcW w:w="1819" w:type="dxa"/>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无线电台（站）设置、使用许可</w:t>
            </w:r>
            <w:r w:rsidRPr="007311E6">
              <w:rPr>
                <w:rFonts w:eastAsia="仿宋"/>
                <w:sz w:val="24"/>
              </w:rPr>
              <w:t>”</w:t>
            </w:r>
          </w:p>
        </w:tc>
        <w:tc>
          <w:tcPr>
            <w:tcW w:w="3225" w:type="dxa"/>
          </w:tcPr>
          <w:p w:rsidR="002B3F8F" w:rsidRPr="007311E6" w:rsidRDefault="002B3F8F" w:rsidP="00F223A6">
            <w:pPr>
              <w:spacing w:line="360" w:lineRule="auto"/>
              <w:rPr>
                <w:rFonts w:eastAsia="仿宋"/>
                <w:sz w:val="24"/>
              </w:rPr>
            </w:pPr>
            <w:r w:rsidRPr="007311E6">
              <w:rPr>
                <w:rFonts w:eastAsia="仿宋"/>
                <w:sz w:val="24"/>
              </w:rPr>
              <w:t>《业余无线电台管理办法》（工业和信息化部令第</w:t>
            </w:r>
            <w:r w:rsidRPr="007311E6">
              <w:rPr>
                <w:rFonts w:eastAsia="仿宋"/>
                <w:sz w:val="24"/>
              </w:rPr>
              <w:t>22</w:t>
            </w:r>
            <w:r w:rsidRPr="007311E6">
              <w:rPr>
                <w:rFonts w:eastAsia="仿宋"/>
                <w:sz w:val="24"/>
              </w:rPr>
              <w:t>号）</w:t>
            </w:r>
            <w:r w:rsidRPr="007311E6">
              <w:rPr>
                <w:rFonts w:eastAsia="仿宋"/>
                <w:sz w:val="24"/>
              </w:rPr>
              <w:t xml:space="preserve"> </w:t>
            </w:r>
          </w:p>
        </w:tc>
      </w:tr>
      <w:tr w:rsidR="002B3F8F" w:rsidRPr="007311E6" w:rsidTr="00F223A6">
        <w:trPr>
          <w:trHeight w:val="2063"/>
        </w:trPr>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13</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可用资金证明</w:t>
            </w:r>
          </w:p>
        </w:tc>
        <w:tc>
          <w:tcPr>
            <w:tcW w:w="1819" w:type="dxa"/>
            <w:vMerge w:val="restart"/>
            <w:vAlign w:val="center"/>
          </w:tcPr>
          <w:p w:rsidR="002B3F8F" w:rsidRPr="007311E6" w:rsidRDefault="002B3F8F" w:rsidP="00F223A6">
            <w:pPr>
              <w:spacing w:line="360" w:lineRule="auto"/>
              <w:rPr>
                <w:rFonts w:eastAsia="仿宋"/>
                <w:sz w:val="24"/>
              </w:rPr>
            </w:pPr>
            <w:r w:rsidRPr="007311E6">
              <w:rPr>
                <w:rFonts w:eastAsia="仿宋"/>
                <w:sz w:val="24"/>
              </w:rPr>
              <w:t>申请</w:t>
            </w:r>
            <w:r w:rsidRPr="007311E6">
              <w:rPr>
                <w:rFonts w:eastAsia="仿宋"/>
                <w:sz w:val="24"/>
              </w:rPr>
              <w:t>“</w:t>
            </w:r>
            <w:r w:rsidRPr="007311E6">
              <w:rPr>
                <w:rFonts w:eastAsia="仿宋"/>
                <w:sz w:val="24"/>
              </w:rPr>
              <w:t>组建卫星通信网和设置、使用卫星地球站</w:t>
            </w:r>
            <w:r w:rsidRPr="007311E6">
              <w:rPr>
                <w:rFonts w:eastAsia="仿宋"/>
                <w:sz w:val="24"/>
              </w:rPr>
              <w:t>”</w:t>
            </w:r>
          </w:p>
        </w:tc>
        <w:tc>
          <w:tcPr>
            <w:tcW w:w="3225" w:type="dxa"/>
            <w:vMerge w:val="restart"/>
          </w:tcPr>
          <w:p w:rsidR="002B3F8F" w:rsidRPr="007311E6" w:rsidRDefault="002B3F8F" w:rsidP="00F223A6">
            <w:pPr>
              <w:widowControl/>
              <w:spacing w:line="360" w:lineRule="auto"/>
              <w:jc w:val="left"/>
              <w:rPr>
                <w:rFonts w:eastAsia="仿宋"/>
                <w:sz w:val="24"/>
              </w:rPr>
            </w:pPr>
            <w:r w:rsidRPr="007311E6">
              <w:rPr>
                <w:rFonts w:eastAsia="仿宋"/>
                <w:sz w:val="24"/>
              </w:rPr>
              <w:t>1.</w:t>
            </w:r>
            <w:r w:rsidRPr="007311E6">
              <w:rPr>
                <w:rFonts w:eastAsia="仿宋"/>
                <w:sz w:val="24"/>
              </w:rPr>
              <w:t>《建立卫星通信网和设置使用地球站管理规定》（工业和信息化部令第</w:t>
            </w:r>
            <w:r w:rsidRPr="007311E6">
              <w:rPr>
                <w:rFonts w:eastAsia="仿宋"/>
                <w:sz w:val="24"/>
              </w:rPr>
              <w:t>7</w:t>
            </w:r>
            <w:r w:rsidRPr="007311E6">
              <w:rPr>
                <w:rFonts w:eastAsia="仿宋"/>
                <w:sz w:val="24"/>
              </w:rPr>
              <w:t>号）</w:t>
            </w:r>
          </w:p>
          <w:p w:rsidR="002B3F8F" w:rsidRPr="007311E6" w:rsidRDefault="002B3F8F" w:rsidP="00F223A6">
            <w:pPr>
              <w:widowControl/>
              <w:spacing w:line="360" w:lineRule="auto"/>
              <w:jc w:val="left"/>
              <w:rPr>
                <w:rFonts w:eastAsia="仿宋"/>
                <w:sz w:val="24"/>
              </w:rPr>
            </w:pPr>
            <w:r w:rsidRPr="007311E6">
              <w:rPr>
                <w:rFonts w:eastAsia="仿宋"/>
                <w:sz w:val="24"/>
              </w:rPr>
              <w:t>2.</w:t>
            </w:r>
            <w:r w:rsidRPr="007311E6">
              <w:rPr>
                <w:rFonts w:eastAsia="仿宋"/>
                <w:sz w:val="24"/>
              </w:rPr>
              <w:t>《工业和信息化部行政许可实施办法》（工业和信息化部令第</w:t>
            </w:r>
            <w:r w:rsidRPr="007311E6">
              <w:rPr>
                <w:rFonts w:eastAsia="仿宋"/>
                <w:sz w:val="24"/>
              </w:rPr>
              <w:t>2</w:t>
            </w:r>
            <w:r w:rsidRPr="007311E6">
              <w:rPr>
                <w:rFonts w:eastAsia="仿宋"/>
                <w:sz w:val="24"/>
              </w:rPr>
              <w:t>号，</w:t>
            </w:r>
            <w:r w:rsidRPr="007311E6">
              <w:rPr>
                <w:rFonts w:eastAsia="仿宋"/>
                <w:sz w:val="24"/>
              </w:rPr>
              <w:t>2014</w:t>
            </w:r>
            <w:r w:rsidRPr="007311E6">
              <w:rPr>
                <w:rFonts w:eastAsia="仿宋"/>
                <w:sz w:val="24"/>
              </w:rPr>
              <w:t>年、</w:t>
            </w:r>
            <w:r w:rsidRPr="007311E6">
              <w:rPr>
                <w:rFonts w:eastAsia="仿宋"/>
                <w:sz w:val="24"/>
              </w:rPr>
              <w:t>2017</w:t>
            </w:r>
            <w:r w:rsidRPr="007311E6">
              <w:rPr>
                <w:rFonts w:eastAsia="仿宋"/>
                <w:sz w:val="24"/>
              </w:rPr>
              <w:t>年修订）</w:t>
            </w:r>
          </w:p>
        </w:tc>
      </w:tr>
      <w:tr w:rsidR="002B3F8F" w:rsidRPr="007311E6" w:rsidTr="00F223A6">
        <w:tc>
          <w:tcPr>
            <w:tcW w:w="880" w:type="dxa"/>
            <w:vAlign w:val="center"/>
          </w:tcPr>
          <w:p w:rsidR="002B3F8F" w:rsidRPr="007311E6" w:rsidRDefault="002B3F8F" w:rsidP="00F223A6">
            <w:pPr>
              <w:spacing w:line="360" w:lineRule="auto"/>
              <w:jc w:val="center"/>
              <w:rPr>
                <w:rFonts w:eastAsia="仿宋"/>
                <w:sz w:val="24"/>
              </w:rPr>
            </w:pPr>
            <w:r w:rsidRPr="007311E6">
              <w:rPr>
                <w:rFonts w:eastAsia="仿宋"/>
                <w:sz w:val="24"/>
              </w:rPr>
              <w:t>14</w:t>
            </w:r>
          </w:p>
        </w:tc>
        <w:tc>
          <w:tcPr>
            <w:tcW w:w="3395" w:type="dxa"/>
            <w:vAlign w:val="center"/>
          </w:tcPr>
          <w:p w:rsidR="002B3F8F" w:rsidRPr="007311E6" w:rsidRDefault="002B3F8F" w:rsidP="00F223A6">
            <w:pPr>
              <w:spacing w:line="360" w:lineRule="auto"/>
              <w:rPr>
                <w:rFonts w:eastAsia="仿宋"/>
                <w:sz w:val="24"/>
              </w:rPr>
            </w:pPr>
            <w:r w:rsidRPr="007311E6">
              <w:rPr>
                <w:rFonts w:eastAsia="仿宋"/>
                <w:sz w:val="24"/>
              </w:rPr>
              <w:t>电信业务经营许可证复印件</w:t>
            </w:r>
          </w:p>
        </w:tc>
        <w:tc>
          <w:tcPr>
            <w:tcW w:w="1819" w:type="dxa"/>
            <w:vMerge/>
            <w:vAlign w:val="center"/>
          </w:tcPr>
          <w:p w:rsidR="002B3F8F" w:rsidRPr="007311E6" w:rsidRDefault="002B3F8F" w:rsidP="00F223A6">
            <w:pPr>
              <w:spacing w:line="360" w:lineRule="auto"/>
              <w:rPr>
                <w:rFonts w:eastAsia="仿宋"/>
                <w:sz w:val="24"/>
              </w:rPr>
            </w:pPr>
          </w:p>
        </w:tc>
        <w:tc>
          <w:tcPr>
            <w:tcW w:w="3225" w:type="dxa"/>
            <w:vMerge/>
          </w:tcPr>
          <w:p w:rsidR="002B3F8F" w:rsidRPr="007311E6" w:rsidRDefault="002B3F8F" w:rsidP="00F223A6">
            <w:pPr>
              <w:spacing w:line="360" w:lineRule="auto"/>
              <w:rPr>
                <w:rFonts w:eastAsia="仿宋"/>
                <w:sz w:val="24"/>
              </w:rPr>
            </w:pPr>
          </w:p>
        </w:tc>
      </w:tr>
    </w:tbl>
    <w:p w:rsidR="002B3F8F" w:rsidRDefault="002B3F8F" w:rsidP="002B3F8F">
      <w:pPr>
        <w:rPr>
          <w:sz w:val="24"/>
        </w:rPr>
      </w:pPr>
    </w:p>
    <w:p w:rsidR="002B3F8F" w:rsidRPr="007311E6" w:rsidRDefault="002B3F8F" w:rsidP="002B3F8F"/>
    <w:p w:rsidR="002B3F8F" w:rsidRPr="007311E6" w:rsidRDefault="002B3F8F" w:rsidP="002B3F8F"/>
    <w:p w:rsidR="002B3F8F" w:rsidRDefault="002B3F8F" w:rsidP="002B3F8F">
      <w:pPr>
        <w:widowControl/>
        <w:shd w:val="clear" w:color="auto" w:fill="F9F9F9"/>
        <w:jc w:val="center"/>
        <w:rPr>
          <w:rFonts w:asciiTheme="majorEastAsia" w:eastAsiaTheme="majorEastAsia" w:hAnsiTheme="majorEastAsia" w:cs="宋体"/>
          <w:color w:val="070707"/>
          <w:kern w:val="0"/>
          <w:sz w:val="28"/>
          <w:szCs w:val="28"/>
        </w:rPr>
      </w:pPr>
    </w:p>
    <w:p w:rsidR="002B3F8F" w:rsidRDefault="002B3F8F" w:rsidP="002B3F8F">
      <w:pPr>
        <w:widowControl/>
        <w:shd w:val="clear" w:color="auto" w:fill="F9F9F9"/>
        <w:jc w:val="center"/>
        <w:rPr>
          <w:rFonts w:asciiTheme="majorEastAsia" w:eastAsiaTheme="majorEastAsia" w:hAnsiTheme="majorEastAsia" w:cs="宋体"/>
          <w:color w:val="070707"/>
          <w:kern w:val="0"/>
          <w:sz w:val="28"/>
          <w:szCs w:val="28"/>
        </w:rPr>
      </w:pPr>
    </w:p>
    <w:p w:rsidR="002B3F8F" w:rsidRDefault="002B3F8F" w:rsidP="002B3F8F">
      <w:pPr>
        <w:widowControl/>
        <w:shd w:val="clear" w:color="auto" w:fill="F9F9F9"/>
        <w:jc w:val="left"/>
        <w:rPr>
          <w:rFonts w:asciiTheme="majorEastAsia" w:eastAsiaTheme="majorEastAsia" w:hAnsiTheme="majorEastAsia" w:cs="宋体"/>
          <w:color w:val="070707"/>
          <w:kern w:val="0"/>
          <w:sz w:val="28"/>
          <w:szCs w:val="28"/>
        </w:rPr>
      </w:pPr>
      <w:r>
        <w:rPr>
          <w:rFonts w:asciiTheme="majorEastAsia" w:eastAsiaTheme="majorEastAsia" w:hAnsiTheme="majorEastAsia" w:cs="宋体" w:hint="eastAsia"/>
          <w:color w:val="070707"/>
          <w:kern w:val="0"/>
          <w:sz w:val="28"/>
          <w:szCs w:val="28"/>
        </w:rPr>
        <w:lastRenderedPageBreak/>
        <w:t>附件2</w:t>
      </w:r>
    </w:p>
    <w:p w:rsidR="002B3F8F" w:rsidRPr="008B1FB0" w:rsidRDefault="002B3F8F" w:rsidP="002B3F8F">
      <w:pPr>
        <w:widowControl/>
        <w:shd w:val="clear" w:color="auto" w:fill="F9F9F9"/>
        <w:jc w:val="center"/>
        <w:rPr>
          <w:rFonts w:asciiTheme="majorEastAsia" w:eastAsiaTheme="majorEastAsia" w:hAnsiTheme="majorEastAsia" w:cs="宋体"/>
          <w:color w:val="070707"/>
          <w:kern w:val="0"/>
          <w:sz w:val="28"/>
          <w:szCs w:val="28"/>
        </w:rPr>
      </w:pPr>
      <w:r w:rsidRPr="008B1FB0">
        <w:rPr>
          <w:rFonts w:asciiTheme="majorEastAsia" w:eastAsiaTheme="majorEastAsia" w:hAnsiTheme="majorEastAsia" w:cs="宋体" w:hint="eastAsia"/>
          <w:color w:val="070707"/>
          <w:kern w:val="0"/>
          <w:sz w:val="28"/>
          <w:szCs w:val="28"/>
        </w:rPr>
        <w:t>取消的规范性文件等设定的证明事项目录</w:t>
      </w:r>
    </w:p>
    <w:p w:rsidR="002B3F8F" w:rsidRPr="008B1FB0" w:rsidRDefault="002B3F8F" w:rsidP="002B3F8F">
      <w:pPr>
        <w:widowControl/>
        <w:shd w:val="clear" w:color="auto" w:fill="F9F9F9"/>
        <w:jc w:val="center"/>
        <w:rPr>
          <w:rFonts w:ascii="Calibri" w:hAnsi="Calibri" w:cs="宋体"/>
          <w:color w:val="070707"/>
          <w:kern w:val="0"/>
          <w:sz w:val="28"/>
          <w:szCs w:val="28"/>
        </w:rPr>
      </w:pPr>
      <w:r w:rsidRPr="008B1FB0">
        <w:rPr>
          <w:rFonts w:asciiTheme="majorEastAsia" w:eastAsiaTheme="majorEastAsia" w:hAnsiTheme="majorEastAsia" w:cs="宋体" w:hint="eastAsia"/>
          <w:color w:val="070707"/>
          <w:kern w:val="0"/>
          <w:sz w:val="28"/>
          <w:szCs w:val="28"/>
        </w:rPr>
        <w:t>（共24项）</w:t>
      </w:r>
    </w:p>
    <w:tbl>
      <w:tblPr>
        <w:tblW w:w="0" w:type="auto"/>
        <w:jc w:val="center"/>
        <w:tblBorders>
          <w:top w:val="outset" w:sz="24" w:space="0" w:color="auto"/>
          <w:left w:val="outset" w:sz="24" w:space="0" w:color="auto"/>
          <w:bottom w:val="outset" w:sz="24" w:space="0" w:color="auto"/>
          <w:right w:val="outset" w:sz="24" w:space="0" w:color="auto"/>
        </w:tblBorders>
        <w:shd w:val="clear" w:color="auto" w:fill="F9F9F9"/>
        <w:tblCellMar>
          <w:left w:w="0" w:type="dxa"/>
          <w:right w:w="0" w:type="dxa"/>
        </w:tblCellMar>
        <w:tblLook w:val="04A0"/>
      </w:tblPr>
      <w:tblGrid>
        <w:gridCol w:w="849"/>
        <w:gridCol w:w="2027"/>
        <w:gridCol w:w="2333"/>
        <w:gridCol w:w="3313"/>
      </w:tblGrid>
      <w:tr w:rsidR="002B3F8F" w:rsidRPr="007311E6" w:rsidTr="00F223A6">
        <w:trPr>
          <w:jc w:val="center"/>
        </w:trPr>
        <w:tc>
          <w:tcPr>
            <w:tcW w:w="849"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336" w:lineRule="atLeast"/>
              <w:jc w:val="center"/>
              <w:rPr>
                <w:rFonts w:ascii="Calibri" w:hAnsi="Calibri" w:cs="宋体"/>
                <w:color w:val="070707"/>
                <w:kern w:val="0"/>
                <w:sz w:val="24"/>
              </w:rPr>
            </w:pPr>
            <w:r w:rsidRPr="007311E6">
              <w:rPr>
                <w:rFonts w:ascii="黑体" w:eastAsia="黑体" w:hAnsi="黑体" w:cs="宋体" w:hint="eastAsia"/>
                <w:color w:val="070707"/>
                <w:kern w:val="0"/>
                <w:sz w:val="24"/>
              </w:rPr>
              <w:t>序号</w:t>
            </w:r>
          </w:p>
        </w:tc>
        <w:tc>
          <w:tcPr>
            <w:tcW w:w="202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336" w:lineRule="atLeast"/>
              <w:jc w:val="center"/>
              <w:rPr>
                <w:rFonts w:ascii="Calibri" w:hAnsi="Calibri" w:cs="宋体"/>
                <w:color w:val="070707"/>
                <w:kern w:val="0"/>
                <w:sz w:val="24"/>
              </w:rPr>
            </w:pPr>
            <w:r w:rsidRPr="007311E6">
              <w:rPr>
                <w:rFonts w:ascii="黑体" w:eastAsia="黑体" w:hAnsi="黑体" w:cs="宋体" w:hint="eastAsia"/>
                <w:color w:val="070707"/>
                <w:kern w:val="0"/>
                <w:sz w:val="24"/>
              </w:rPr>
              <w:t>证明</w:t>
            </w:r>
          </w:p>
        </w:tc>
        <w:tc>
          <w:tcPr>
            <w:tcW w:w="2333"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2B3F8F" w:rsidRPr="007311E6" w:rsidRDefault="002B3F8F" w:rsidP="00F223A6">
            <w:pPr>
              <w:widowControl/>
              <w:spacing w:line="336" w:lineRule="atLeast"/>
              <w:jc w:val="center"/>
              <w:rPr>
                <w:rFonts w:ascii="Calibri" w:hAnsi="Calibri" w:cs="宋体"/>
                <w:color w:val="070707"/>
                <w:kern w:val="0"/>
                <w:sz w:val="24"/>
              </w:rPr>
            </w:pPr>
            <w:r w:rsidRPr="007311E6">
              <w:rPr>
                <w:rFonts w:ascii="黑体" w:eastAsia="黑体" w:hAnsi="黑体" w:cs="宋体" w:hint="eastAsia"/>
                <w:color w:val="070707"/>
                <w:kern w:val="0"/>
                <w:sz w:val="24"/>
              </w:rPr>
              <w:t>用途</w:t>
            </w:r>
          </w:p>
        </w:tc>
        <w:tc>
          <w:tcPr>
            <w:tcW w:w="3313"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2B3F8F" w:rsidRPr="007311E6" w:rsidRDefault="002B3F8F" w:rsidP="00F223A6">
            <w:pPr>
              <w:widowControl/>
              <w:spacing w:line="336" w:lineRule="atLeast"/>
              <w:jc w:val="center"/>
              <w:rPr>
                <w:rFonts w:ascii="Calibri" w:hAnsi="Calibri" w:cs="宋体"/>
                <w:color w:val="070707"/>
                <w:kern w:val="0"/>
                <w:sz w:val="24"/>
              </w:rPr>
            </w:pPr>
            <w:r w:rsidRPr="007311E6">
              <w:rPr>
                <w:rFonts w:ascii="黑体" w:eastAsia="黑体" w:hAnsi="黑体" w:cs="宋体" w:hint="eastAsia"/>
                <w:color w:val="070707"/>
                <w:kern w:val="0"/>
                <w:sz w:val="24"/>
              </w:rPr>
              <w:t>依据</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基础电信业务经营许可证（限公用电信网）</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全国性信息网络工程或者国家规定限额以上建设项目的公用电信网、专用电信网、广播电视传输网建设审核</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工业和信息化部网站《全国性信息网络工程或者国家规定限额以上建设项目的公用电信网、专用电信网、广播电视传输网建设审核》办事指南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营业执照复印件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第二、三类监控化学品和第四类监控化学品中含磷、硫、氟的特定有机化学品生产特别许可</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工业和信息化部网站《第二、三类监控化学品和第四类监控化学品中含磷、硫、氟的特定有机化学品生产特别许可》办事指南</w:t>
            </w:r>
          </w:p>
        </w:tc>
      </w:tr>
      <w:tr w:rsidR="002B3F8F" w:rsidRPr="007311E6" w:rsidTr="00F223A6">
        <w:trPr>
          <w:trHeight w:val="2273"/>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3</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预注册通知书（新建）</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新建、扩建或者改建用于生产第二、三类监控化学品和第四类监控化学品中含磷、硫、氟的特定有机化学品的设施建设审批和竣工验收</w:t>
            </w:r>
            <w:r w:rsidRPr="007311E6">
              <w:rPr>
                <w:color w:val="070707"/>
                <w:kern w:val="0"/>
                <w:sz w:val="24"/>
              </w:rPr>
              <w:t>”</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工业和信息化部网站《新建、扩建或者改建用于生产第二、三类监控化学品和第四类监控化学品中含磷、硫、氟的特定有机化学品的设施建设审批和竣工验收》办事指南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4</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营业执照复印件（改建或者扩建）</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5</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营业执照复印件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第一类监控化学品及其生产技术、专用设备进出口审核以及第二、三类监控化学品及其生产技术、专用设备进出口审批</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工业和信息化部网站《第一类监控化学品及其生产技术、专用设备进出口审核以及第二、三类监控化学品及其生产技术、专用设备进出口审批》办事指南</w:t>
            </w:r>
          </w:p>
        </w:tc>
      </w:tr>
      <w:tr w:rsidR="002B3F8F" w:rsidRPr="007311E6" w:rsidTr="00F223A6">
        <w:trPr>
          <w:trHeight w:val="2188"/>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lastRenderedPageBreak/>
              <w:t>6</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消防验收证明</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办理</w:t>
            </w:r>
            <w:r w:rsidRPr="007311E6">
              <w:rPr>
                <w:color w:val="070707"/>
                <w:kern w:val="0"/>
                <w:sz w:val="24"/>
              </w:rPr>
              <w:t>“</w:t>
            </w:r>
            <w:r w:rsidRPr="007311E6">
              <w:rPr>
                <w:rFonts w:ascii="仿宋" w:eastAsia="仿宋" w:hAnsi="仿宋" w:cs="宋体" w:hint="eastAsia"/>
                <w:color w:val="070707"/>
                <w:kern w:val="0"/>
                <w:sz w:val="24"/>
              </w:rPr>
              <w:t>道路机动车辆生产企业及产品准入许可</w:t>
            </w:r>
            <w:r w:rsidRPr="007311E6">
              <w:rPr>
                <w:color w:val="070707"/>
                <w:kern w:val="0"/>
                <w:sz w:val="24"/>
              </w:rPr>
              <w:t>”</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1.</w:t>
            </w:r>
            <w:r w:rsidRPr="007311E6">
              <w:rPr>
                <w:rFonts w:ascii="仿宋" w:eastAsia="仿宋" w:hAnsi="仿宋" w:cs="宋体" w:hint="eastAsia"/>
                <w:color w:val="070707"/>
                <w:kern w:val="0"/>
                <w:sz w:val="24"/>
              </w:rPr>
              <w:t>《乘用车生产企业及产品准入管理规则》（工产业〔</w:t>
            </w:r>
            <w:r w:rsidRPr="007311E6">
              <w:rPr>
                <w:color w:val="070707"/>
                <w:kern w:val="0"/>
                <w:sz w:val="24"/>
              </w:rPr>
              <w:t>2011</w:t>
            </w:r>
            <w:r w:rsidRPr="007311E6">
              <w:rPr>
                <w:rFonts w:ascii="仿宋" w:eastAsia="仿宋" w:hAnsi="仿宋" w:cs="宋体" w:hint="eastAsia"/>
                <w:color w:val="070707"/>
                <w:kern w:val="0"/>
                <w:sz w:val="24"/>
              </w:rPr>
              <w:t>〕第</w:t>
            </w:r>
            <w:r w:rsidRPr="007311E6">
              <w:rPr>
                <w:color w:val="070707"/>
                <w:kern w:val="0"/>
                <w:sz w:val="24"/>
              </w:rPr>
              <w:t>37</w:t>
            </w:r>
            <w:r w:rsidRPr="007311E6">
              <w:rPr>
                <w:rFonts w:ascii="仿宋" w:eastAsia="仿宋" w:hAnsi="仿宋" w:cs="宋体" w:hint="eastAsia"/>
                <w:color w:val="070707"/>
                <w:kern w:val="0"/>
                <w:sz w:val="24"/>
              </w:rPr>
              <w:t>号）</w:t>
            </w:r>
          </w:p>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2.</w:t>
            </w:r>
            <w:r w:rsidRPr="007311E6">
              <w:rPr>
                <w:rFonts w:ascii="仿宋" w:eastAsia="仿宋" w:hAnsi="仿宋" w:cs="宋体" w:hint="eastAsia"/>
                <w:color w:val="070707"/>
                <w:kern w:val="0"/>
                <w:sz w:val="24"/>
              </w:rPr>
              <w:t>《商用车生产企业及产品准入管理规则》（工产业〔</w:t>
            </w:r>
            <w:r w:rsidRPr="007311E6">
              <w:rPr>
                <w:color w:val="070707"/>
                <w:kern w:val="0"/>
                <w:sz w:val="24"/>
              </w:rPr>
              <w:t>2010</w:t>
            </w:r>
            <w:r w:rsidRPr="007311E6">
              <w:rPr>
                <w:rFonts w:ascii="仿宋" w:eastAsia="仿宋" w:hAnsi="仿宋" w:cs="宋体" w:hint="eastAsia"/>
                <w:color w:val="070707"/>
                <w:kern w:val="0"/>
                <w:sz w:val="24"/>
              </w:rPr>
              <w:t>〕第</w:t>
            </w:r>
            <w:r w:rsidRPr="007311E6">
              <w:rPr>
                <w:color w:val="070707"/>
                <w:kern w:val="0"/>
                <w:sz w:val="24"/>
              </w:rPr>
              <w:t>132</w:t>
            </w:r>
            <w:r w:rsidRPr="007311E6">
              <w:rPr>
                <w:rFonts w:ascii="仿宋" w:eastAsia="仿宋" w:hAnsi="仿宋" w:cs="宋体" w:hint="eastAsia"/>
                <w:color w:val="070707"/>
                <w:kern w:val="0"/>
                <w:sz w:val="24"/>
              </w:rPr>
              <w:t>号）</w:t>
            </w:r>
          </w:p>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3.</w:t>
            </w:r>
            <w:r w:rsidRPr="007311E6">
              <w:rPr>
                <w:rFonts w:ascii="仿宋" w:eastAsia="仿宋" w:hAnsi="仿宋" w:cs="宋体" w:hint="eastAsia"/>
                <w:color w:val="070707"/>
                <w:kern w:val="0"/>
                <w:sz w:val="24"/>
              </w:rPr>
              <w:t>《专用汽车和挂车生产企业及产品准入管理规则》（工产业〔</w:t>
            </w:r>
            <w:r w:rsidRPr="007311E6">
              <w:rPr>
                <w:color w:val="070707"/>
                <w:kern w:val="0"/>
                <w:sz w:val="24"/>
              </w:rPr>
              <w:t>2009</w:t>
            </w:r>
            <w:r w:rsidRPr="007311E6">
              <w:rPr>
                <w:rFonts w:ascii="仿宋" w:eastAsia="仿宋" w:hAnsi="仿宋" w:cs="宋体" w:hint="eastAsia"/>
                <w:color w:val="070707"/>
                <w:kern w:val="0"/>
                <w:sz w:val="24"/>
              </w:rPr>
              <w:t>〕第</w:t>
            </w:r>
            <w:r w:rsidRPr="007311E6">
              <w:rPr>
                <w:color w:val="070707"/>
                <w:kern w:val="0"/>
                <w:sz w:val="24"/>
              </w:rPr>
              <w:t>45</w:t>
            </w:r>
            <w:r w:rsidRPr="007311E6">
              <w:rPr>
                <w:rFonts w:ascii="仿宋" w:eastAsia="仿宋" w:hAnsi="仿宋" w:cs="宋体" w:hint="eastAsia"/>
                <w:color w:val="070707"/>
                <w:kern w:val="0"/>
                <w:sz w:val="24"/>
              </w:rPr>
              <w:t>号）</w:t>
            </w:r>
          </w:p>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4.</w:t>
            </w:r>
            <w:r w:rsidRPr="007311E6">
              <w:rPr>
                <w:rFonts w:ascii="仿宋" w:eastAsia="仿宋" w:hAnsi="仿宋" w:cs="宋体" w:hint="eastAsia"/>
                <w:color w:val="070707"/>
                <w:kern w:val="0"/>
                <w:sz w:val="24"/>
              </w:rPr>
              <w:t>《专用校车生产企业及产品准入管理规则》（工产业〔</w:t>
            </w:r>
            <w:r w:rsidRPr="007311E6">
              <w:rPr>
                <w:color w:val="070707"/>
                <w:kern w:val="0"/>
                <w:sz w:val="24"/>
              </w:rPr>
              <w:t>2012</w:t>
            </w:r>
            <w:r w:rsidRPr="007311E6">
              <w:rPr>
                <w:rFonts w:ascii="仿宋" w:eastAsia="仿宋" w:hAnsi="仿宋" w:cs="宋体" w:hint="eastAsia"/>
                <w:color w:val="070707"/>
                <w:kern w:val="0"/>
                <w:sz w:val="24"/>
              </w:rPr>
              <w:t>〕第</w:t>
            </w:r>
            <w:r w:rsidRPr="007311E6">
              <w:rPr>
                <w:color w:val="070707"/>
                <w:kern w:val="0"/>
                <w:sz w:val="24"/>
              </w:rPr>
              <w:t>25</w:t>
            </w:r>
            <w:r w:rsidRPr="007311E6">
              <w:rPr>
                <w:rFonts w:ascii="仿宋" w:eastAsia="仿宋" w:hAnsi="仿宋" w:cs="宋体" w:hint="eastAsia"/>
                <w:color w:val="070707"/>
                <w:kern w:val="0"/>
                <w:sz w:val="24"/>
              </w:rPr>
              <w:t>号）</w:t>
            </w:r>
          </w:p>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5.</w:t>
            </w:r>
            <w:r w:rsidRPr="007311E6">
              <w:rPr>
                <w:rFonts w:ascii="仿宋" w:eastAsia="仿宋" w:hAnsi="仿宋" w:cs="宋体" w:hint="eastAsia"/>
                <w:color w:val="070707"/>
                <w:kern w:val="0"/>
                <w:sz w:val="24"/>
              </w:rPr>
              <w:t>《摩托车生产准入管理办法实施细则》（经贸委〔</w:t>
            </w:r>
            <w:r w:rsidRPr="007311E6">
              <w:rPr>
                <w:color w:val="070707"/>
                <w:kern w:val="0"/>
                <w:sz w:val="24"/>
              </w:rPr>
              <w:t>2002</w:t>
            </w:r>
            <w:r w:rsidRPr="007311E6">
              <w:rPr>
                <w:rFonts w:ascii="仿宋" w:eastAsia="仿宋" w:hAnsi="仿宋" w:cs="宋体" w:hint="eastAsia"/>
                <w:color w:val="070707"/>
                <w:kern w:val="0"/>
                <w:sz w:val="24"/>
              </w:rPr>
              <w:t>〕第</w:t>
            </w:r>
            <w:r w:rsidRPr="007311E6">
              <w:rPr>
                <w:color w:val="070707"/>
                <w:kern w:val="0"/>
                <w:sz w:val="24"/>
              </w:rPr>
              <w:t>110</w:t>
            </w:r>
            <w:r w:rsidRPr="007311E6">
              <w:rPr>
                <w:rFonts w:ascii="仿宋" w:eastAsia="仿宋" w:hAnsi="仿宋" w:cs="宋体" w:hint="eastAsia"/>
                <w:color w:val="070707"/>
                <w:kern w:val="0"/>
                <w:sz w:val="24"/>
              </w:rPr>
              <w:t>号）</w:t>
            </w:r>
          </w:p>
        </w:tc>
      </w:tr>
      <w:tr w:rsidR="002B3F8F" w:rsidRPr="007311E6" w:rsidTr="00F223A6">
        <w:trPr>
          <w:trHeight w:val="2568"/>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7</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环评批复文件</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8</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股东出资证明或者验资报告</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trHeight w:val="1498"/>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9</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学历证书复印件</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互联网域名根服务器设置及其运行机构和注册管理机构的设立审批</w:t>
            </w:r>
            <w:r w:rsidRPr="007311E6">
              <w:rPr>
                <w:color w:val="070707"/>
                <w:kern w:val="0"/>
                <w:sz w:val="24"/>
              </w:rPr>
              <w:t>”</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工业和信息化部网站《互联网域名根服务器设置及其运行机构和注册管理机构的设立审批》办事指南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10</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增值电信业务经营许可证复印件</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trHeight w:val="743"/>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11</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学历证书复印件</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域名注册服务机构</w:t>
            </w:r>
            <w:r w:rsidRPr="007311E6">
              <w:rPr>
                <w:color w:val="070707"/>
                <w:kern w:val="0"/>
                <w:sz w:val="24"/>
              </w:rPr>
              <w:t>”</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工业和信息化部网站《互联网域名注册服务机构的设立审批》办事指南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12</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增值电信业务经营许可证复印件</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13</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定制协议或者定制证明（申请定制话机进网许可）</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电信设备进网许可（含试用）审批</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《移动电话机定制管理规定》（工信部电管〔</w:t>
            </w:r>
            <w:r w:rsidRPr="007311E6">
              <w:rPr>
                <w:color w:val="070707"/>
                <w:kern w:val="0"/>
                <w:sz w:val="24"/>
              </w:rPr>
              <w:t>2010</w:t>
            </w:r>
            <w:r w:rsidRPr="007311E6">
              <w:rPr>
                <w:rFonts w:ascii="仿宋" w:eastAsia="仿宋" w:hAnsi="仿宋" w:cs="宋体" w:hint="eastAsia"/>
                <w:color w:val="070707"/>
                <w:kern w:val="0"/>
                <w:sz w:val="24"/>
              </w:rPr>
              <w:t>〕</w:t>
            </w:r>
            <w:r w:rsidRPr="007311E6">
              <w:rPr>
                <w:color w:val="070707"/>
                <w:kern w:val="0"/>
                <w:sz w:val="24"/>
              </w:rPr>
              <w:t>4</w:t>
            </w:r>
            <w:r w:rsidRPr="007311E6">
              <w:rPr>
                <w:rFonts w:ascii="仿宋" w:eastAsia="仿宋" w:hAnsi="仿宋" w:cs="宋体" w:hint="eastAsia"/>
                <w:color w:val="070707"/>
                <w:kern w:val="0"/>
                <w:sz w:val="24"/>
              </w:rPr>
              <w:t>号）</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14</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卫星转发器出租、出售业务经营许可证明</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境内单位租用境外卫星资源核准</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工业和信息化部网站《境内单位租用境外卫星资源核准》办事指南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15</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无线电台执照复印件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无线电台识别码核发</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工业和信息化部网站《无线电台识别码核发》办事指南</w:t>
            </w:r>
          </w:p>
        </w:tc>
      </w:tr>
      <w:tr w:rsidR="002B3F8F" w:rsidRPr="007311E6" w:rsidTr="00F223A6">
        <w:trPr>
          <w:trHeight w:val="1418"/>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lastRenderedPageBreak/>
              <w:t>16</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质量保证体系证书复印件（仅限境内企业）</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无线电发射设备型号核准</w:t>
            </w:r>
            <w:r w:rsidRPr="007311E6">
              <w:rPr>
                <w:color w:val="070707"/>
                <w:kern w:val="0"/>
                <w:sz w:val="24"/>
              </w:rPr>
              <w:t>”</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1.</w:t>
            </w:r>
            <w:r w:rsidRPr="007311E6">
              <w:rPr>
                <w:rFonts w:ascii="仿宋" w:eastAsia="仿宋" w:hAnsi="仿宋" w:cs="宋体" w:hint="eastAsia"/>
                <w:color w:val="070707"/>
                <w:kern w:val="0"/>
                <w:sz w:val="24"/>
              </w:rPr>
              <w:t>《生产无线电发射设备的管理规定》（国无管〔</w:t>
            </w:r>
            <w:r w:rsidRPr="007311E6">
              <w:rPr>
                <w:color w:val="070707"/>
                <w:kern w:val="0"/>
                <w:sz w:val="24"/>
              </w:rPr>
              <w:t>1997</w:t>
            </w:r>
            <w:r w:rsidRPr="007311E6">
              <w:rPr>
                <w:rFonts w:ascii="仿宋" w:eastAsia="仿宋" w:hAnsi="仿宋" w:cs="宋体" w:hint="eastAsia"/>
                <w:color w:val="070707"/>
                <w:kern w:val="0"/>
                <w:sz w:val="24"/>
              </w:rPr>
              <w:t>〕</w:t>
            </w:r>
            <w:r w:rsidRPr="007311E6">
              <w:rPr>
                <w:color w:val="070707"/>
                <w:kern w:val="0"/>
                <w:sz w:val="24"/>
              </w:rPr>
              <w:t>12</w:t>
            </w:r>
            <w:r w:rsidRPr="007311E6">
              <w:rPr>
                <w:rFonts w:ascii="仿宋" w:eastAsia="仿宋" w:hAnsi="仿宋" w:cs="宋体" w:hint="eastAsia"/>
                <w:color w:val="070707"/>
                <w:kern w:val="0"/>
                <w:sz w:val="24"/>
              </w:rPr>
              <w:t>号）</w:t>
            </w:r>
          </w:p>
          <w:p w:rsidR="002B3F8F" w:rsidRPr="007311E6" w:rsidRDefault="002B3F8F" w:rsidP="00F223A6">
            <w:pPr>
              <w:widowControl/>
              <w:spacing w:line="420" w:lineRule="atLeast"/>
              <w:rPr>
                <w:rFonts w:ascii="Calibri" w:hAnsi="Calibri" w:cs="宋体"/>
                <w:color w:val="070707"/>
                <w:kern w:val="0"/>
                <w:sz w:val="24"/>
              </w:rPr>
            </w:pPr>
            <w:r w:rsidRPr="007311E6">
              <w:rPr>
                <w:color w:val="070707"/>
                <w:kern w:val="0"/>
                <w:sz w:val="24"/>
              </w:rPr>
              <w:t>2.</w:t>
            </w:r>
            <w:r w:rsidRPr="007311E6">
              <w:rPr>
                <w:rFonts w:ascii="仿宋" w:eastAsia="仿宋" w:hAnsi="仿宋" w:cs="宋体" w:hint="eastAsia"/>
                <w:color w:val="070707"/>
                <w:kern w:val="0"/>
                <w:sz w:val="24"/>
              </w:rPr>
              <w:t>工业和信息化部网站《无线电发射设备型号核准》办事指南</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17</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核准测试报告</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18</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合法、有效的频率使用文件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申请</w:t>
            </w:r>
            <w:r w:rsidRPr="007311E6">
              <w:rPr>
                <w:color w:val="070707"/>
                <w:kern w:val="0"/>
                <w:sz w:val="24"/>
              </w:rPr>
              <w:t>“</w:t>
            </w:r>
            <w:r w:rsidRPr="007311E6">
              <w:rPr>
                <w:rFonts w:ascii="仿宋" w:eastAsia="仿宋" w:hAnsi="仿宋" w:cs="宋体" w:hint="eastAsia"/>
                <w:color w:val="070707"/>
                <w:kern w:val="0"/>
                <w:sz w:val="24"/>
              </w:rPr>
              <w:t>无线电发射设备进关核准</w:t>
            </w:r>
            <w:r w:rsidRPr="007311E6">
              <w:rPr>
                <w:color w:val="070707"/>
                <w:kern w:val="0"/>
                <w:sz w:val="24"/>
              </w:rPr>
              <w:t>”</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工业和信息化部网站《无线电发射设备进关核准》办事指南</w:t>
            </w:r>
          </w:p>
        </w:tc>
      </w:tr>
      <w:tr w:rsidR="002B3F8F" w:rsidRPr="007311E6" w:rsidTr="00F223A6">
        <w:trPr>
          <w:trHeight w:val="1051"/>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19</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制造业单项冠军市场占有率证明</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申报制造业单项冠军</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《工业和信息化部关于印发</w:t>
            </w:r>
            <w:r w:rsidRPr="007311E6">
              <w:rPr>
                <w:color w:val="070707"/>
                <w:kern w:val="0"/>
                <w:sz w:val="24"/>
              </w:rPr>
              <w:t>&lt;</w:t>
            </w:r>
            <w:r w:rsidRPr="007311E6">
              <w:rPr>
                <w:rFonts w:ascii="仿宋" w:eastAsia="仿宋" w:hAnsi="仿宋" w:cs="宋体" w:hint="eastAsia"/>
                <w:color w:val="070707"/>
                <w:kern w:val="0"/>
                <w:sz w:val="24"/>
              </w:rPr>
              <w:t>制造业单项冠军企业培育提升专项实施方案</w:t>
            </w:r>
            <w:r w:rsidRPr="007311E6">
              <w:rPr>
                <w:color w:val="070707"/>
                <w:kern w:val="0"/>
                <w:sz w:val="24"/>
              </w:rPr>
              <w:t>&gt;</w:t>
            </w:r>
            <w:r w:rsidRPr="007311E6">
              <w:rPr>
                <w:rFonts w:ascii="仿宋" w:eastAsia="仿宋" w:hAnsi="仿宋" w:cs="宋体" w:hint="eastAsia"/>
                <w:color w:val="070707"/>
                <w:kern w:val="0"/>
                <w:sz w:val="24"/>
              </w:rPr>
              <w:t>的通知》（工业部产业〔</w:t>
            </w:r>
            <w:r w:rsidRPr="007311E6">
              <w:rPr>
                <w:color w:val="070707"/>
                <w:kern w:val="0"/>
                <w:sz w:val="24"/>
              </w:rPr>
              <w:t>2016</w:t>
            </w:r>
            <w:r w:rsidRPr="007311E6">
              <w:rPr>
                <w:rFonts w:ascii="仿宋" w:eastAsia="仿宋" w:hAnsi="仿宋" w:cs="宋体" w:hint="eastAsia"/>
                <w:color w:val="070707"/>
                <w:kern w:val="0"/>
                <w:sz w:val="24"/>
              </w:rPr>
              <w:t>〕</w:t>
            </w:r>
            <w:r w:rsidRPr="007311E6">
              <w:rPr>
                <w:color w:val="070707"/>
                <w:kern w:val="0"/>
                <w:sz w:val="24"/>
              </w:rPr>
              <w:t>105</w:t>
            </w:r>
            <w:r w:rsidRPr="007311E6">
              <w:rPr>
                <w:rFonts w:ascii="仿宋" w:eastAsia="仿宋" w:hAnsi="仿宋" w:cs="宋体" w:hint="eastAsia"/>
                <w:color w:val="070707"/>
                <w:kern w:val="0"/>
                <w:sz w:val="24"/>
              </w:rPr>
              <w:t>号）</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20</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营业执照副本复印件</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21</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营业执照副本复印件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申报服务型制造示范遴选</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《工业和信息化部办公厅关于开展第二批服务型制造示范遴选工作的通知》（工信厅产业函〔</w:t>
            </w:r>
            <w:r w:rsidRPr="007311E6">
              <w:rPr>
                <w:color w:val="070707"/>
                <w:kern w:val="0"/>
                <w:sz w:val="24"/>
              </w:rPr>
              <w:t>2018</w:t>
            </w:r>
            <w:r w:rsidRPr="007311E6">
              <w:rPr>
                <w:rFonts w:ascii="仿宋" w:eastAsia="仿宋" w:hAnsi="仿宋" w:cs="宋体" w:hint="eastAsia"/>
                <w:color w:val="070707"/>
                <w:kern w:val="0"/>
                <w:sz w:val="24"/>
              </w:rPr>
              <w:t>〕</w:t>
            </w:r>
            <w:r w:rsidRPr="007311E6">
              <w:rPr>
                <w:color w:val="070707"/>
                <w:kern w:val="0"/>
                <w:sz w:val="24"/>
              </w:rPr>
              <w:t>145</w:t>
            </w:r>
            <w:r w:rsidRPr="007311E6">
              <w:rPr>
                <w:rFonts w:ascii="仿宋" w:eastAsia="仿宋" w:hAnsi="仿宋" w:cs="宋体" w:hint="eastAsia"/>
                <w:color w:val="070707"/>
                <w:kern w:val="0"/>
                <w:sz w:val="24"/>
              </w:rPr>
              <w:t>号）</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22</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营业执照副本复印件</w:t>
            </w:r>
          </w:p>
        </w:tc>
        <w:tc>
          <w:tcPr>
            <w:tcW w:w="233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申报国家级工业设计中心</w:t>
            </w:r>
          </w:p>
        </w:tc>
        <w:tc>
          <w:tcPr>
            <w:tcW w:w="3313" w:type="dxa"/>
            <w:vMerge w:val="restart"/>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《工业和信息化部办公厅关于组织开展</w:t>
            </w:r>
            <w:r w:rsidRPr="007311E6">
              <w:rPr>
                <w:color w:val="070707"/>
                <w:kern w:val="0"/>
                <w:sz w:val="24"/>
              </w:rPr>
              <w:t>2017</w:t>
            </w:r>
            <w:r w:rsidRPr="007311E6">
              <w:rPr>
                <w:rFonts w:ascii="仿宋" w:eastAsia="仿宋" w:hAnsi="仿宋" w:cs="宋体" w:hint="eastAsia"/>
                <w:color w:val="070707"/>
                <w:kern w:val="0"/>
                <w:sz w:val="24"/>
              </w:rPr>
              <w:t>年度国家级工业设计中心认定工作的通知》（工信厅产业函〔</w:t>
            </w:r>
            <w:r w:rsidRPr="007311E6">
              <w:rPr>
                <w:color w:val="070707"/>
                <w:kern w:val="0"/>
                <w:sz w:val="24"/>
              </w:rPr>
              <w:t>2017</w:t>
            </w:r>
            <w:r w:rsidRPr="007311E6">
              <w:rPr>
                <w:rFonts w:ascii="仿宋" w:eastAsia="仿宋" w:hAnsi="仿宋" w:cs="宋体" w:hint="eastAsia"/>
                <w:color w:val="070707"/>
                <w:kern w:val="0"/>
                <w:sz w:val="24"/>
              </w:rPr>
              <w:t>〕</w:t>
            </w:r>
            <w:r w:rsidRPr="007311E6">
              <w:rPr>
                <w:color w:val="070707"/>
                <w:kern w:val="0"/>
                <w:sz w:val="24"/>
              </w:rPr>
              <w:t>186</w:t>
            </w:r>
            <w:r w:rsidRPr="007311E6">
              <w:rPr>
                <w:rFonts w:ascii="仿宋" w:eastAsia="仿宋" w:hAnsi="仿宋" w:cs="宋体" w:hint="eastAsia"/>
                <w:color w:val="070707"/>
                <w:kern w:val="0"/>
                <w:sz w:val="24"/>
              </w:rPr>
              <w:t>号）</w:t>
            </w: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23</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主管部门关于企业未发生重大质量、安全生产事故，没有违法或涉嫌违法正在接受调查的证明</w:t>
            </w: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c>
          <w:tcPr>
            <w:tcW w:w="0" w:type="auto"/>
            <w:vMerge/>
            <w:tcBorders>
              <w:top w:val="nil"/>
              <w:left w:val="nil"/>
              <w:bottom w:val="single" w:sz="8" w:space="0" w:color="auto"/>
              <w:right w:val="single" w:sz="8" w:space="0" w:color="auto"/>
            </w:tcBorders>
            <w:shd w:val="clear" w:color="auto" w:fill="F9F9F9"/>
            <w:vAlign w:val="center"/>
            <w:hideMark/>
          </w:tcPr>
          <w:p w:rsidR="002B3F8F" w:rsidRPr="007311E6" w:rsidRDefault="002B3F8F" w:rsidP="00F223A6">
            <w:pPr>
              <w:widowControl/>
              <w:jc w:val="left"/>
              <w:rPr>
                <w:rFonts w:ascii="Calibri" w:hAnsi="Calibri" w:cs="宋体"/>
                <w:color w:val="070707"/>
                <w:kern w:val="0"/>
                <w:sz w:val="24"/>
              </w:rPr>
            </w:pPr>
          </w:p>
        </w:tc>
      </w:tr>
      <w:tr w:rsidR="002B3F8F" w:rsidRPr="007311E6" w:rsidTr="00F223A6">
        <w:trPr>
          <w:jc w:val="center"/>
        </w:trPr>
        <w:tc>
          <w:tcPr>
            <w:tcW w:w="849"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jc w:val="center"/>
              <w:rPr>
                <w:rFonts w:ascii="Calibri" w:hAnsi="Calibri" w:cs="宋体"/>
                <w:color w:val="070707"/>
                <w:kern w:val="0"/>
                <w:sz w:val="24"/>
              </w:rPr>
            </w:pPr>
            <w:r w:rsidRPr="007311E6">
              <w:rPr>
                <w:color w:val="070707"/>
                <w:kern w:val="0"/>
                <w:sz w:val="24"/>
              </w:rPr>
              <w:t>24</w:t>
            </w:r>
          </w:p>
        </w:tc>
        <w:tc>
          <w:tcPr>
            <w:tcW w:w="2027"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武器装备有关资质复印件</w:t>
            </w:r>
          </w:p>
        </w:tc>
        <w:tc>
          <w:tcPr>
            <w:tcW w:w="233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遴选</w:t>
            </w:r>
            <w:r w:rsidRPr="007311E6">
              <w:rPr>
                <w:color w:val="070707"/>
                <w:kern w:val="0"/>
                <w:sz w:val="24"/>
              </w:rPr>
              <w:t>“</w:t>
            </w:r>
            <w:r w:rsidRPr="007311E6">
              <w:rPr>
                <w:rFonts w:ascii="仿宋" w:eastAsia="仿宋" w:hAnsi="仿宋" w:cs="宋体" w:hint="eastAsia"/>
                <w:color w:val="070707"/>
                <w:kern w:val="0"/>
                <w:sz w:val="24"/>
              </w:rPr>
              <w:t>民参军</w:t>
            </w:r>
            <w:r w:rsidRPr="007311E6">
              <w:rPr>
                <w:color w:val="070707"/>
                <w:kern w:val="0"/>
                <w:sz w:val="24"/>
              </w:rPr>
              <w:t>”</w:t>
            </w:r>
            <w:r w:rsidRPr="007311E6">
              <w:rPr>
                <w:rFonts w:ascii="仿宋" w:eastAsia="仿宋" w:hAnsi="仿宋" w:cs="宋体" w:hint="eastAsia"/>
                <w:color w:val="070707"/>
                <w:kern w:val="0"/>
                <w:sz w:val="24"/>
              </w:rPr>
              <w:t>目录项目</w:t>
            </w:r>
          </w:p>
        </w:tc>
        <w:tc>
          <w:tcPr>
            <w:tcW w:w="3313"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2B3F8F" w:rsidRPr="007311E6" w:rsidRDefault="002B3F8F" w:rsidP="00F223A6">
            <w:pPr>
              <w:widowControl/>
              <w:spacing w:line="420" w:lineRule="atLeast"/>
              <w:rPr>
                <w:rFonts w:ascii="Calibri" w:hAnsi="Calibri" w:cs="宋体"/>
                <w:color w:val="070707"/>
                <w:kern w:val="0"/>
                <w:sz w:val="24"/>
              </w:rPr>
            </w:pPr>
            <w:r w:rsidRPr="007311E6">
              <w:rPr>
                <w:rFonts w:ascii="仿宋" w:eastAsia="仿宋" w:hAnsi="仿宋" w:cs="宋体" w:hint="eastAsia"/>
                <w:color w:val="070707"/>
                <w:kern w:val="0"/>
                <w:sz w:val="24"/>
              </w:rPr>
              <w:t>《工业和信息化部办公厅</w:t>
            </w:r>
            <w:r w:rsidRPr="007311E6">
              <w:rPr>
                <w:color w:val="070707"/>
                <w:kern w:val="0"/>
                <w:sz w:val="24"/>
              </w:rPr>
              <w:t> </w:t>
            </w:r>
            <w:r w:rsidRPr="007311E6">
              <w:rPr>
                <w:rFonts w:ascii="仿宋" w:eastAsia="仿宋" w:hAnsi="仿宋" w:cs="宋体" w:hint="eastAsia"/>
                <w:color w:val="070707"/>
                <w:kern w:val="0"/>
                <w:sz w:val="24"/>
              </w:rPr>
              <w:t>国防科工局综合司关于推荐</w:t>
            </w:r>
            <w:r w:rsidRPr="007311E6">
              <w:rPr>
                <w:color w:val="070707"/>
                <w:kern w:val="0"/>
                <w:sz w:val="24"/>
              </w:rPr>
              <w:t>&lt;</w:t>
            </w:r>
            <w:r w:rsidRPr="007311E6">
              <w:rPr>
                <w:rFonts w:ascii="仿宋" w:eastAsia="仿宋" w:hAnsi="仿宋" w:cs="宋体" w:hint="eastAsia"/>
                <w:color w:val="070707"/>
                <w:kern w:val="0"/>
                <w:sz w:val="24"/>
              </w:rPr>
              <w:t>民参军技术与产品推荐目录（</w:t>
            </w:r>
            <w:r w:rsidRPr="007311E6">
              <w:rPr>
                <w:color w:val="070707"/>
                <w:kern w:val="0"/>
                <w:sz w:val="24"/>
              </w:rPr>
              <w:t>2018</w:t>
            </w:r>
            <w:r w:rsidRPr="007311E6">
              <w:rPr>
                <w:rFonts w:ascii="仿宋" w:eastAsia="仿宋" w:hAnsi="仿宋" w:cs="宋体" w:hint="eastAsia"/>
                <w:color w:val="070707"/>
                <w:kern w:val="0"/>
                <w:sz w:val="24"/>
              </w:rPr>
              <w:t>年度）</w:t>
            </w:r>
            <w:r w:rsidRPr="007311E6">
              <w:rPr>
                <w:color w:val="070707"/>
                <w:kern w:val="0"/>
                <w:sz w:val="24"/>
              </w:rPr>
              <w:t>&gt;</w:t>
            </w:r>
            <w:r w:rsidRPr="007311E6">
              <w:rPr>
                <w:rFonts w:ascii="仿宋" w:eastAsia="仿宋" w:hAnsi="仿宋" w:cs="宋体" w:hint="eastAsia"/>
                <w:color w:val="070707"/>
                <w:kern w:val="0"/>
                <w:sz w:val="24"/>
              </w:rPr>
              <w:t>信息的通知》（工信厅联军民函〔</w:t>
            </w:r>
            <w:r w:rsidRPr="007311E6">
              <w:rPr>
                <w:color w:val="070707"/>
                <w:kern w:val="0"/>
                <w:sz w:val="24"/>
              </w:rPr>
              <w:t>2018</w:t>
            </w:r>
            <w:r w:rsidRPr="007311E6">
              <w:rPr>
                <w:rFonts w:ascii="仿宋" w:eastAsia="仿宋" w:hAnsi="仿宋" w:cs="宋体" w:hint="eastAsia"/>
                <w:color w:val="070707"/>
                <w:kern w:val="0"/>
                <w:sz w:val="24"/>
              </w:rPr>
              <w:t>〕</w:t>
            </w:r>
            <w:r w:rsidRPr="007311E6">
              <w:rPr>
                <w:color w:val="070707"/>
                <w:kern w:val="0"/>
                <w:sz w:val="24"/>
              </w:rPr>
              <w:t>165</w:t>
            </w:r>
            <w:r w:rsidRPr="007311E6">
              <w:rPr>
                <w:rFonts w:ascii="仿宋" w:eastAsia="仿宋" w:hAnsi="仿宋" w:cs="宋体" w:hint="eastAsia"/>
                <w:color w:val="070707"/>
                <w:kern w:val="0"/>
                <w:sz w:val="24"/>
              </w:rPr>
              <w:t>号）</w:t>
            </w:r>
          </w:p>
        </w:tc>
      </w:tr>
    </w:tbl>
    <w:p w:rsidR="002B3F8F" w:rsidRDefault="002B3F8F" w:rsidP="002B3F8F">
      <w:pPr>
        <w:pStyle w:val="a5"/>
        <w:spacing w:before="0" w:beforeAutospacing="0" w:after="0" w:afterAutospacing="0" w:line="390" w:lineRule="atLeast"/>
        <w:ind w:firstLineChars="300" w:firstLine="720"/>
        <w:rPr>
          <w:rFonts w:asciiTheme="minorEastAsia" w:eastAsiaTheme="minorEastAsia" w:hAnsiTheme="minorEastAsia"/>
          <w:color w:val="070707"/>
          <w:bdr w:val="none" w:sz="0" w:space="0" w:color="auto" w:frame="1"/>
        </w:rPr>
      </w:pPr>
      <w:hyperlink r:id="rId8" w:history="1">
        <w:r w:rsidRPr="00035636">
          <w:rPr>
            <w:rStyle w:val="a4"/>
            <w:rFonts w:asciiTheme="minorEastAsia" w:eastAsiaTheme="minorEastAsia" w:hAnsiTheme="minorEastAsia"/>
            <w:bdr w:val="none" w:sz="0" w:space="0" w:color="auto" w:frame="1"/>
          </w:rPr>
          <w:t>http://www.miit.gov.cn/n1146290/n4388791/c6581771/content.html</w:t>
        </w:r>
      </w:hyperlink>
    </w:p>
    <w:p w:rsidR="002B3F8F" w:rsidRPr="00290E74" w:rsidRDefault="002B3F8F" w:rsidP="002B3F8F"/>
    <w:p w:rsidR="002B3F8F" w:rsidRPr="00CA7049" w:rsidRDefault="002B3F8F" w:rsidP="002B3F8F">
      <w:pPr>
        <w:widowControl/>
        <w:spacing w:after="300"/>
        <w:jc w:val="left"/>
        <w:rPr>
          <w:rFonts w:asciiTheme="minorEastAsia" w:hAnsiTheme="minorEastAsia" w:cs="宋体"/>
          <w:color w:val="000000"/>
          <w:kern w:val="0"/>
          <w:sz w:val="28"/>
          <w:szCs w:val="28"/>
          <w:bdr w:val="single" w:sz="4" w:space="0" w:color="auto"/>
        </w:rPr>
      </w:pPr>
      <w:r>
        <w:rPr>
          <w:rFonts w:asciiTheme="minorEastAsia" w:hAnsiTheme="minorEastAsia" w:cs="宋体" w:hint="eastAsia"/>
          <w:color w:val="000000"/>
          <w:kern w:val="0"/>
          <w:sz w:val="28"/>
          <w:szCs w:val="28"/>
          <w:bdr w:val="single" w:sz="4" w:space="0" w:color="auto"/>
        </w:rPr>
        <w:lastRenderedPageBreak/>
        <w:t>政府信息</w:t>
      </w:r>
    </w:p>
    <w:p w:rsidR="002B3F8F" w:rsidRPr="00CA7049" w:rsidRDefault="002B3F8F" w:rsidP="002B3F8F">
      <w:pPr>
        <w:widowControl/>
        <w:shd w:val="clear" w:color="auto" w:fill="FFFFFF"/>
        <w:spacing w:after="200" w:line="400" w:lineRule="atLeast"/>
        <w:jc w:val="center"/>
        <w:outlineLvl w:val="1"/>
        <w:rPr>
          <w:rFonts w:asciiTheme="minorEastAsia" w:hAnsiTheme="minorEastAsia" w:cs="宋体"/>
          <w:b/>
          <w:bCs/>
          <w:color w:val="000000"/>
          <w:kern w:val="36"/>
          <w:sz w:val="28"/>
          <w:szCs w:val="28"/>
        </w:rPr>
      </w:pPr>
      <w:r w:rsidRPr="00CA7049">
        <w:rPr>
          <w:rFonts w:asciiTheme="minorEastAsia" w:hAnsiTheme="minorEastAsia" w:cs="宋体" w:hint="eastAsia"/>
          <w:b/>
          <w:bCs/>
          <w:color w:val="000000"/>
          <w:kern w:val="36"/>
          <w:sz w:val="28"/>
          <w:szCs w:val="28"/>
        </w:rPr>
        <w:t>关于发布进口货物的固体废物属性鉴别程序的公告</w:t>
      </w:r>
    </w:p>
    <w:p w:rsidR="002B3F8F" w:rsidRPr="00CA7049" w:rsidRDefault="002B3F8F" w:rsidP="002B3F8F">
      <w:pPr>
        <w:widowControl/>
        <w:shd w:val="clear" w:color="auto" w:fill="FFFFFF"/>
        <w:spacing w:line="360" w:lineRule="atLeast"/>
        <w:jc w:val="center"/>
        <w:rPr>
          <w:rFonts w:ascii="仿宋" w:eastAsia="仿宋" w:hAnsi="仿宋" w:cs="宋体"/>
          <w:color w:val="000000"/>
          <w:kern w:val="0"/>
          <w:sz w:val="24"/>
        </w:rPr>
      </w:pPr>
      <w:r w:rsidRPr="00CA7049">
        <w:rPr>
          <w:rFonts w:ascii="仿宋" w:eastAsia="仿宋" w:hAnsi="仿宋" w:cs="宋体" w:hint="eastAsia"/>
          <w:color w:val="000000"/>
          <w:kern w:val="0"/>
          <w:sz w:val="24"/>
        </w:rPr>
        <w:t>公告 2018年 第70号</w:t>
      </w:r>
    </w:p>
    <w:p w:rsidR="002B3F8F" w:rsidRDefault="002B3F8F" w:rsidP="002B3F8F">
      <w:pPr>
        <w:widowControl/>
        <w:shd w:val="clear" w:color="auto" w:fill="FFFFFF"/>
        <w:spacing w:line="360" w:lineRule="atLeast"/>
        <w:jc w:val="left"/>
        <w:rPr>
          <w:rFonts w:ascii="仿宋" w:eastAsia="仿宋" w:hAnsi="仿宋" w:cs="宋体"/>
          <w:color w:val="000000"/>
          <w:kern w:val="0"/>
          <w:sz w:val="24"/>
        </w:rPr>
      </w:pP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CA7049">
        <w:rPr>
          <w:rFonts w:ascii="仿宋" w:eastAsia="仿宋" w:hAnsi="仿宋" w:cs="宋体" w:hint="eastAsia"/>
          <w:color w:val="000000"/>
          <w:kern w:val="0"/>
          <w:sz w:val="24"/>
        </w:rPr>
        <w:t>为贯彻《中华人民共和国固体废物污染环境防治法》和《固体废物进口管理办法》，加强进口固体废物的环境管理，规范进口货物的固体废物属性鉴别工作，现发布《进口货物的固体废物属性鉴别程序》（见附件）。</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该程序自发布之日起实施，《关于发布固体废物属性鉴别机构名单及鉴别程序的通知》（环发〔2008〕18号）同时废止。</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特此公告。</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附件：</w:t>
      </w:r>
      <w:hyperlink r:id="rId9" w:history="1">
        <w:r w:rsidRPr="00CA7049">
          <w:rPr>
            <w:rFonts w:ascii="仿宋" w:eastAsia="仿宋" w:hAnsi="仿宋" w:cs="宋体" w:hint="eastAsia"/>
            <w:color w:val="0000FF"/>
            <w:kern w:val="0"/>
            <w:sz w:val="24"/>
          </w:rPr>
          <w:t>进口货物的固体废物属性鉴别程序</w:t>
        </w:r>
      </w:hyperlink>
    </w:p>
    <w:p w:rsidR="002B3F8F" w:rsidRDefault="002B3F8F" w:rsidP="002B3F8F"/>
    <w:p w:rsidR="002B3F8F" w:rsidRPr="00CA7049" w:rsidRDefault="002B3F8F" w:rsidP="002B3F8F">
      <w:pPr>
        <w:spacing w:line="440" w:lineRule="exact"/>
        <w:rPr>
          <w:rFonts w:ascii="仿宋" w:eastAsia="仿宋" w:hAnsi="仿宋"/>
        </w:rPr>
      </w:pPr>
    </w:p>
    <w:p w:rsidR="002B3F8F" w:rsidRPr="00CA7049" w:rsidRDefault="002B3F8F" w:rsidP="002B3F8F">
      <w:pPr>
        <w:spacing w:line="440" w:lineRule="exact"/>
        <w:rPr>
          <w:rFonts w:ascii="仿宋" w:eastAsia="仿宋" w:hAnsi="仿宋"/>
          <w:sz w:val="24"/>
        </w:rPr>
      </w:pPr>
      <w:r w:rsidRPr="00CA7049">
        <w:rPr>
          <w:rFonts w:ascii="仿宋" w:eastAsia="仿宋" w:hAnsi="仿宋" w:hint="eastAsia"/>
          <w:sz w:val="24"/>
        </w:rPr>
        <w:t xml:space="preserve">                                       　　</w:t>
      </w:r>
      <w:r>
        <w:rPr>
          <w:rFonts w:ascii="仿宋" w:eastAsia="仿宋" w:hAnsi="仿宋" w:hint="eastAsia"/>
          <w:sz w:val="24"/>
        </w:rPr>
        <w:t xml:space="preserve">    </w:t>
      </w:r>
      <w:r w:rsidRPr="00CA7049">
        <w:rPr>
          <w:rFonts w:ascii="仿宋" w:eastAsia="仿宋" w:hAnsi="仿宋" w:hint="eastAsia"/>
          <w:sz w:val="24"/>
        </w:rPr>
        <w:t>生态环境部</w:t>
      </w:r>
    </w:p>
    <w:p w:rsidR="002B3F8F" w:rsidRPr="00CA7049" w:rsidRDefault="002B3F8F" w:rsidP="002B3F8F">
      <w:pPr>
        <w:spacing w:line="440" w:lineRule="exact"/>
        <w:rPr>
          <w:rFonts w:ascii="仿宋" w:eastAsia="仿宋" w:hAnsi="仿宋"/>
          <w:sz w:val="24"/>
        </w:rPr>
      </w:pPr>
      <w:r w:rsidRPr="00CA7049">
        <w:rPr>
          <w:rFonts w:ascii="仿宋" w:eastAsia="仿宋" w:hAnsi="仿宋" w:hint="eastAsia"/>
          <w:sz w:val="24"/>
        </w:rPr>
        <w:t xml:space="preserve">                                           </w:t>
      </w:r>
      <w:r>
        <w:rPr>
          <w:rFonts w:ascii="仿宋" w:eastAsia="仿宋" w:hAnsi="仿宋" w:hint="eastAsia"/>
          <w:sz w:val="24"/>
        </w:rPr>
        <w:t xml:space="preserve">     </w:t>
      </w:r>
      <w:r w:rsidRPr="00CA7049">
        <w:rPr>
          <w:rFonts w:ascii="仿宋" w:eastAsia="仿宋" w:hAnsi="仿宋" w:hint="eastAsia"/>
          <w:sz w:val="24"/>
        </w:rPr>
        <w:t>海关总署</w:t>
      </w:r>
    </w:p>
    <w:p w:rsidR="002B3F8F" w:rsidRPr="00CA7049" w:rsidRDefault="002B3F8F" w:rsidP="002B3F8F">
      <w:pPr>
        <w:spacing w:line="440" w:lineRule="exact"/>
        <w:rPr>
          <w:rFonts w:ascii="仿宋" w:eastAsia="仿宋" w:hAnsi="仿宋"/>
          <w:sz w:val="24"/>
        </w:rPr>
      </w:pPr>
      <w:r w:rsidRPr="00CA7049">
        <w:rPr>
          <w:rFonts w:ascii="仿宋" w:eastAsia="仿宋" w:hAnsi="仿宋" w:hint="eastAsia"/>
          <w:sz w:val="24"/>
        </w:rPr>
        <w:t xml:space="preserve">　　                                    </w:t>
      </w:r>
      <w:r>
        <w:rPr>
          <w:rFonts w:ascii="仿宋" w:eastAsia="仿宋" w:hAnsi="仿宋" w:hint="eastAsia"/>
          <w:sz w:val="24"/>
        </w:rPr>
        <w:t xml:space="preserve">    </w:t>
      </w:r>
      <w:r w:rsidRPr="00CA7049">
        <w:rPr>
          <w:rFonts w:ascii="仿宋" w:eastAsia="仿宋" w:hAnsi="仿宋" w:hint="eastAsia"/>
          <w:sz w:val="24"/>
        </w:rPr>
        <w:t>2018年12月26日</w:t>
      </w:r>
    </w:p>
    <w:p w:rsidR="002B3F8F"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主送：各省、自治区、直辖市生态环境厅（局），新疆生产建设兵团环境保护局，海关总署广东分署、天津特派办、上海特派办、各直属海关。</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抄送：发展改革委，商务部。</w:t>
      </w:r>
    </w:p>
    <w:p w:rsidR="002B3F8F" w:rsidRPr="00CA7049" w:rsidRDefault="002B3F8F" w:rsidP="002B3F8F">
      <w:pPr>
        <w:widowControl/>
        <w:shd w:val="clear" w:color="auto" w:fill="FFFFFF"/>
        <w:spacing w:line="440" w:lineRule="exact"/>
        <w:jc w:val="left"/>
        <w:rPr>
          <w:rFonts w:ascii="仿宋" w:eastAsia="仿宋" w:hAnsi="仿宋" w:cs="宋体"/>
          <w:color w:val="000000"/>
          <w:kern w:val="0"/>
          <w:sz w:val="24"/>
        </w:rPr>
      </w:pPr>
      <w:r w:rsidRPr="00CA7049">
        <w:rPr>
          <w:rFonts w:ascii="仿宋" w:eastAsia="仿宋" w:hAnsi="仿宋" w:cs="宋体" w:hint="eastAsia"/>
          <w:color w:val="000000"/>
          <w:kern w:val="0"/>
          <w:sz w:val="24"/>
        </w:rPr>
        <w:t xml:space="preserve">　　生态环境部办公厅2018年12月27日印发</w:t>
      </w:r>
    </w:p>
    <w:p w:rsidR="002B3F8F" w:rsidRPr="00CA7049" w:rsidRDefault="002B3F8F" w:rsidP="002B3F8F">
      <w:pPr>
        <w:spacing w:line="440" w:lineRule="exact"/>
        <w:rPr>
          <w:rFonts w:ascii="仿宋" w:eastAsia="仿宋" w:hAnsi="仿宋"/>
          <w:sz w:val="24"/>
        </w:rPr>
      </w:pPr>
    </w:p>
    <w:p w:rsidR="00923BF5" w:rsidRDefault="00923BF5">
      <w:pPr>
        <w:rPr>
          <w:rFonts w:hint="eastAsia"/>
          <w:sz w:val="28"/>
          <w:szCs w:val="28"/>
        </w:rPr>
      </w:pPr>
    </w:p>
    <w:p w:rsidR="002B3F8F" w:rsidRDefault="002B3F8F">
      <w:pPr>
        <w:rPr>
          <w:rFonts w:hint="eastAsia"/>
          <w:sz w:val="28"/>
          <w:szCs w:val="28"/>
        </w:rPr>
      </w:pPr>
    </w:p>
    <w:p w:rsidR="002B3F8F" w:rsidRDefault="002B3F8F">
      <w:pPr>
        <w:rPr>
          <w:rFonts w:hint="eastAsia"/>
          <w:sz w:val="28"/>
          <w:szCs w:val="28"/>
        </w:rPr>
      </w:pPr>
    </w:p>
    <w:p w:rsidR="002B3F8F" w:rsidRDefault="002B3F8F">
      <w:pPr>
        <w:rPr>
          <w:rFonts w:hint="eastAsia"/>
          <w:sz w:val="28"/>
          <w:szCs w:val="28"/>
        </w:rPr>
      </w:pPr>
    </w:p>
    <w:p w:rsidR="002B3F8F" w:rsidRDefault="002B3F8F">
      <w:pPr>
        <w:rPr>
          <w:rFonts w:hint="eastAsia"/>
          <w:sz w:val="28"/>
          <w:szCs w:val="28"/>
        </w:rPr>
      </w:pPr>
    </w:p>
    <w:p w:rsidR="002B3F8F" w:rsidRDefault="002B3F8F">
      <w:pPr>
        <w:rPr>
          <w:rFonts w:hint="eastAsia"/>
          <w:sz w:val="28"/>
          <w:szCs w:val="28"/>
        </w:rPr>
      </w:pPr>
    </w:p>
    <w:p w:rsidR="00A1376B" w:rsidRPr="00014DFF" w:rsidRDefault="00A1376B" w:rsidP="00A1376B">
      <w:pPr>
        <w:widowControl/>
        <w:shd w:val="clear" w:color="auto" w:fill="FFFFFF"/>
        <w:jc w:val="left"/>
        <w:rPr>
          <w:rFonts w:asciiTheme="majorEastAsia" w:eastAsiaTheme="majorEastAsia" w:hAnsiTheme="majorEastAsia" w:cs="宋体"/>
          <w:color w:val="333333"/>
          <w:spacing w:val="5"/>
          <w:kern w:val="0"/>
          <w:sz w:val="28"/>
          <w:szCs w:val="28"/>
          <w:bdr w:val="single" w:sz="4" w:space="0" w:color="auto"/>
        </w:rPr>
      </w:pPr>
      <w:r w:rsidRPr="00EC182F">
        <w:rPr>
          <w:rFonts w:asciiTheme="majorEastAsia" w:eastAsiaTheme="majorEastAsia" w:hAnsiTheme="majorEastAsia" w:cs="宋体" w:hint="eastAsia"/>
          <w:color w:val="333333"/>
          <w:spacing w:val="5"/>
          <w:kern w:val="0"/>
          <w:sz w:val="28"/>
          <w:szCs w:val="28"/>
          <w:bdr w:val="single" w:sz="4" w:space="0" w:color="auto"/>
        </w:rPr>
        <w:lastRenderedPageBreak/>
        <w:t>协会动态</w:t>
      </w:r>
    </w:p>
    <w:p w:rsidR="00A1376B" w:rsidRDefault="00A1376B" w:rsidP="00A1376B">
      <w:pPr>
        <w:widowControl/>
        <w:shd w:val="clear" w:color="auto" w:fill="FFFFFF"/>
        <w:spacing w:line="333" w:lineRule="atLeast"/>
        <w:jc w:val="center"/>
        <w:outlineLvl w:val="0"/>
        <w:rPr>
          <w:rFonts w:ascii="宋体" w:hAnsi="宋体" w:cs="宋体"/>
          <w:b/>
          <w:bCs/>
          <w:color w:val="333333"/>
          <w:spacing w:val="5"/>
          <w:kern w:val="36"/>
          <w:sz w:val="28"/>
          <w:szCs w:val="28"/>
        </w:rPr>
      </w:pPr>
    </w:p>
    <w:p w:rsidR="00A1376B" w:rsidRPr="00014DFF" w:rsidRDefault="00A1376B" w:rsidP="00A1376B">
      <w:pPr>
        <w:widowControl/>
        <w:shd w:val="clear" w:color="auto" w:fill="FFFFFF"/>
        <w:spacing w:line="333" w:lineRule="atLeast"/>
        <w:jc w:val="center"/>
        <w:outlineLvl w:val="0"/>
        <w:rPr>
          <w:rFonts w:ascii="微软雅黑" w:eastAsia="微软雅黑" w:hAnsi="微软雅黑" w:cs="宋体"/>
          <w:color w:val="333333"/>
          <w:spacing w:val="5"/>
          <w:kern w:val="36"/>
          <w:sz w:val="28"/>
          <w:szCs w:val="28"/>
        </w:rPr>
      </w:pPr>
      <w:r w:rsidRPr="00014DFF">
        <w:rPr>
          <w:rFonts w:ascii="宋体" w:hAnsi="宋体" w:cs="宋体" w:hint="eastAsia"/>
          <w:b/>
          <w:bCs/>
          <w:color w:val="333333"/>
          <w:spacing w:val="5"/>
          <w:kern w:val="36"/>
          <w:sz w:val="28"/>
          <w:szCs w:val="28"/>
        </w:rPr>
        <w:t>化工环保协会组织召开《染料废水制备硫酸铵》和《绿色设计产品评价技术规范 分散染料》两项标准讨论会</w:t>
      </w:r>
    </w:p>
    <w:p w:rsidR="00A1376B" w:rsidRDefault="00A1376B" w:rsidP="00A1376B">
      <w:pPr>
        <w:widowControl/>
        <w:shd w:val="clear" w:color="auto" w:fill="FFFFFF"/>
        <w:spacing w:line="216" w:lineRule="atLeast"/>
        <w:ind w:firstLine="400"/>
        <w:rPr>
          <w:rFonts w:ascii="仿宋" w:eastAsia="仿宋" w:hAnsi="仿宋" w:cs="宋体"/>
          <w:color w:val="070707"/>
          <w:spacing w:val="5"/>
          <w:kern w:val="0"/>
          <w:sz w:val="24"/>
          <w:bdr w:val="none" w:sz="0" w:space="0" w:color="auto" w:frame="1"/>
        </w:rPr>
      </w:pPr>
    </w:p>
    <w:p w:rsidR="00A1376B" w:rsidRDefault="00A1376B" w:rsidP="00A1376B">
      <w:pPr>
        <w:widowControl/>
        <w:shd w:val="clear" w:color="auto" w:fill="FFFFFF"/>
        <w:spacing w:line="440" w:lineRule="exact"/>
        <w:ind w:firstLine="403"/>
        <w:rPr>
          <w:rFonts w:ascii="仿宋" w:eastAsia="仿宋" w:hAnsi="仿宋" w:cs="宋体"/>
          <w:color w:val="070707"/>
          <w:spacing w:val="5"/>
          <w:kern w:val="0"/>
          <w:sz w:val="24"/>
          <w:bdr w:val="none" w:sz="0" w:space="0" w:color="auto" w:frame="1"/>
        </w:rPr>
      </w:pPr>
      <w:r>
        <w:rPr>
          <w:rFonts w:ascii="仿宋" w:eastAsia="仿宋" w:hAnsi="仿宋" w:cs="宋体" w:hint="eastAsia"/>
          <w:color w:val="070707"/>
          <w:spacing w:val="5"/>
          <w:kern w:val="0"/>
          <w:sz w:val="24"/>
          <w:bdr w:val="none" w:sz="0" w:space="0" w:color="auto" w:frame="1"/>
        </w:rPr>
        <w:t xml:space="preserve"> </w:t>
      </w:r>
      <w:r w:rsidRPr="00014DFF">
        <w:rPr>
          <w:rFonts w:ascii="仿宋" w:eastAsia="仿宋" w:hAnsi="仿宋" w:cs="宋体" w:hint="eastAsia"/>
          <w:color w:val="070707"/>
          <w:spacing w:val="5"/>
          <w:kern w:val="0"/>
          <w:sz w:val="24"/>
          <w:bdr w:val="none" w:sz="0" w:space="0" w:color="auto" w:frame="1"/>
        </w:rPr>
        <w:t>2018年12月24日，中国化工环保协会组织召开了《染料废水制备硫酸铵》（征求意见稿）行业标准和《绿色设计产品评价技术规范分散染料》团体标准讨论会。</w:t>
      </w:r>
    </w:p>
    <w:p w:rsidR="00A1376B" w:rsidRPr="00014DFF" w:rsidRDefault="00A1376B" w:rsidP="00A1376B">
      <w:pPr>
        <w:widowControl/>
        <w:shd w:val="clear" w:color="auto" w:fill="FFFFFF"/>
        <w:spacing w:line="440" w:lineRule="exact"/>
        <w:ind w:firstLine="403"/>
        <w:rPr>
          <w:rFonts w:ascii="仿宋" w:eastAsia="仿宋" w:hAnsi="仿宋" w:cs="宋体"/>
          <w:color w:val="333333"/>
          <w:spacing w:val="5"/>
          <w:kern w:val="0"/>
          <w:sz w:val="24"/>
        </w:rPr>
      </w:pPr>
      <w:r w:rsidRPr="00014DFF">
        <w:rPr>
          <w:rFonts w:ascii="仿宋" w:eastAsia="仿宋" w:hAnsi="仿宋" w:cs="宋体" w:hint="eastAsia"/>
          <w:color w:val="070707"/>
          <w:spacing w:val="5"/>
          <w:kern w:val="0"/>
          <w:sz w:val="24"/>
          <w:bdr w:val="none" w:sz="0" w:space="0" w:color="auto" w:frame="1"/>
        </w:rPr>
        <w:t>会议由环保协会徐晓莉主持，周献慧理事长、技术部吴刚主任、有关专家及浙江龙盛、浙江闰土、浙江吉华、江苏亚邦等企业技术及环保负责同志近20人参加了本次会议。</w:t>
      </w:r>
    </w:p>
    <w:p w:rsidR="00A1376B" w:rsidRPr="00014DFF" w:rsidRDefault="00A1376B" w:rsidP="00A1376B">
      <w:pPr>
        <w:widowControl/>
        <w:shd w:val="clear" w:color="auto" w:fill="FFFFFF"/>
        <w:spacing w:line="440" w:lineRule="exact"/>
        <w:ind w:firstLine="403"/>
        <w:rPr>
          <w:rFonts w:ascii="仿宋" w:eastAsia="仿宋" w:hAnsi="仿宋" w:cs="宋体"/>
          <w:color w:val="333333"/>
          <w:spacing w:val="5"/>
          <w:kern w:val="0"/>
          <w:sz w:val="24"/>
        </w:rPr>
      </w:pPr>
      <w:r w:rsidRPr="00014DFF">
        <w:rPr>
          <w:rFonts w:ascii="仿宋" w:eastAsia="仿宋" w:hAnsi="仿宋" w:cs="宋体" w:hint="eastAsia"/>
          <w:color w:val="070707"/>
          <w:spacing w:val="5"/>
          <w:kern w:val="0"/>
          <w:sz w:val="24"/>
          <w:bdr w:val="none" w:sz="0" w:space="0" w:color="auto" w:frame="1"/>
        </w:rPr>
        <w:t>与会专家和企业代表对《染料废水制备硫酸铵》标准制定的内容和限值进行了充分的论证，提出了可行的修改建议。同时对绿色设计产品评价技术规范的编制进行了介绍，成立了《绿色设计产品评价技术规范分散染料》编制组并制定了标准编制计划，会议取得了圆满成功。</w:t>
      </w:r>
    </w:p>
    <w:p w:rsidR="00A1376B" w:rsidRPr="00014DFF" w:rsidRDefault="00A1376B" w:rsidP="00A1376B">
      <w:pPr>
        <w:rPr>
          <w:rFonts w:ascii="仿宋" w:eastAsia="仿宋" w:hAnsi="仿宋"/>
          <w:sz w:val="24"/>
        </w:rPr>
      </w:pPr>
    </w:p>
    <w:p w:rsidR="00FE49C7" w:rsidRDefault="00FE49C7">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Default="00A1376B">
      <w:pPr>
        <w:rPr>
          <w:rFonts w:hint="eastAsia"/>
          <w:sz w:val="28"/>
          <w:szCs w:val="28"/>
        </w:rPr>
      </w:pPr>
    </w:p>
    <w:p w:rsidR="00A1376B" w:rsidRPr="006345D3" w:rsidRDefault="00A1376B" w:rsidP="00A1376B">
      <w:pPr>
        <w:jc w:val="left"/>
        <w:rPr>
          <w:rFonts w:ascii="微软雅黑" w:hAnsi="微软雅黑"/>
          <w:sz w:val="28"/>
          <w:szCs w:val="28"/>
          <w:bdr w:val="single" w:sz="4" w:space="0" w:color="auto"/>
        </w:rPr>
      </w:pPr>
      <w:r w:rsidRPr="006345D3">
        <w:rPr>
          <w:rFonts w:ascii="微软雅黑" w:hAnsi="微软雅黑" w:hint="eastAsia"/>
          <w:sz w:val="28"/>
          <w:szCs w:val="28"/>
          <w:bdr w:val="single" w:sz="4" w:space="0" w:color="auto"/>
        </w:rPr>
        <w:lastRenderedPageBreak/>
        <w:t>协会动态</w:t>
      </w:r>
    </w:p>
    <w:p w:rsidR="00A1376B" w:rsidRDefault="00A1376B" w:rsidP="00A1376B">
      <w:pPr>
        <w:jc w:val="center"/>
        <w:rPr>
          <w:rFonts w:ascii="微软雅黑" w:hAnsi="微软雅黑"/>
          <w:b/>
          <w:sz w:val="28"/>
          <w:szCs w:val="28"/>
        </w:rPr>
      </w:pPr>
    </w:p>
    <w:p w:rsidR="00A1376B" w:rsidRPr="00711972" w:rsidRDefault="00A1376B" w:rsidP="00A1376B">
      <w:pPr>
        <w:jc w:val="center"/>
        <w:rPr>
          <w:rFonts w:ascii="微软雅黑" w:hAnsi="微软雅黑"/>
          <w:b/>
          <w:sz w:val="28"/>
          <w:szCs w:val="28"/>
        </w:rPr>
      </w:pPr>
      <w:r w:rsidRPr="00711972">
        <w:rPr>
          <w:rFonts w:ascii="微软雅黑" w:hAnsi="微软雅黑" w:hint="eastAsia"/>
          <w:b/>
          <w:sz w:val="28"/>
          <w:szCs w:val="28"/>
        </w:rPr>
        <w:t>《石油炼制行业绿色工厂评价导则》等六项标准专家审查会召开</w:t>
      </w:r>
    </w:p>
    <w:p w:rsidR="00A1376B" w:rsidRPr="0072256F" w:rsidRDefault="00A1376B" w:rsidP="00A1376B">
      <w:pPr>
        <w:widowControl/>
        <w:spacing w:line="440" w:lineRule="exact"/>
        <w:ind w:firstLineChars="200" w:firstLine="480"/>
        <w:rPr>
          <w:rFonts w:ascii="仿宋" w:eastAsia="仿宋" w:hAnsi="仿宋" w:cs="宋体"/>
          <w:kern w:val="0"/>
          <w:sz w:val="24"/>
        </w:rPr>
      </w:pPr>
      <w:r w:rsidRPr="0072256F">
        <w:rPr>
          <w:rFonts w:ascii="仿宋" w:eastAsia="仿宋" w:hAnsi="仿宋" w:cs="宋体" w:hint="eastAsia"/>
          <w:kern w:val="0"/>
          <w:sz w:val="24"/>
        </w:rPr>
        <w:t>2018年12月13日，《石油炼制行业绿色工厂评价导则》等六项标准专家审查会在京召开。会议由石化联合会质量安全标准处杨建海处长主持，工信部节能司王旭明博士、中国化工环保协会周献慧理事长、石化联合会质量安全环保处魏静主任、环保处庄相宁副主任、相关行业专家以及来自于中石化、中石油、中国农药工业协会、中国涂料工业协会、中国磷复肥工业协会等51人参加了本次会议。</w:t>
      </w:r>
    </w:p>
    <w:p w:rsidR="00A1376B" w:rsidRPr="0072256F" w:rsidRDefault="00A1376B" w:rsidP="00A1376B">
      <w:pPr>
        <w:widowControl/>
        <w:spacing w:line="440" w:lineRule="exact"/>
        <w:ind w:firstLineChars="200" w:firstLine="480"/>
        <w:rPr>
          <w:rFonts w:ascii="仿宋" w:eastAsia="仿宋" w:hAnsi="仿宋" w:cs="宋体"/>
          <w:kern w:val="0"/>
          <w:sz w:val="24"/>
        </w:rPr>
      </w:pPr>
      <w:r w:rsidRPr="0072256F">
        <w:rPr>
          <w:rFonts w:ascii="仿宋" w:eastAsia="仿宋" w:hAnsi="仿宋" w:cs="宋体" w:hint="eastAsia"/>
          <w:kern w:val="0"/>
          <w:sz w:val="24"/>
        </w:rPr>
        <w:t>会上，各编制组分别详细介绍了六个标准的制定过程和标准详细内容，评审专家和管理部门领导针对六个标准分别提出来相应的详细建议，下一步各编制组将根据专家修订建议进行修改，形成报批稿上报，本次会议圆满完成。</w:t>
      </w:r>
    </w:p>
    <w:p w:rsidR="00A1376B" w:rsidRPr="0072256F" w:rsidRDefault="00A1376B" w:rsidP="00A1376B">
      <w:pPr>
        <w:widowControl/>
        <w:spacing w:line="440" w:lineRule="exact"/>
        <w:ind w:firstLineChars="200" w:firstLine="480"/>
        <w:rPr>
          <w:rFonts w:ascii="仿宋" w:eastAsia="仿宋" w:hAnsi="仿宋" w:cs="宋体"/>
          <w:kern w:val="0"/>
          <w:sz w:val="24"/>
        </w:rPr>
      </w:pPr>
    </w:p>
    <w:p w:rsidR="00A1376B" w:rsidRPr="0072256F" w:rsidRDefault="00A1376B" w:rsidP="00A1376B">
      <w:pPr>
        <w:rPr>
          <w:rFonts w:ascii="仿宋" w:eastAsia="仿宋" w:hAnsi="仿宋"/>
        </w:rPr>
      </w:pPr>
    </w:p>
    <w:p w:rsidR="00A1376B" w:rsidRDefault="00A1376B">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247EB7" w:rsidRDefault="00247EB7">
      <w:pPr>
        <w:rPr>
          <w:rFonts w:hint="eastAsia"/>
          <w:sz w:val="28"/>
          <w:szCs w:val="28"/>
        </w:rPr>
      </w:pPr>
    </w:p>
    <w:p w:rsidR="00714E67" w:rsidRPr="008838E8" w:rsidRDefault="00714E67" w:rsidP="00714E67">
      <w:pPr>
        <w:spacing w:line="440" w:lineRule="exact"/>
        <w:rPr>
          <w:rFonts w:ascii="仿宋" w:eastAsia="仿宋" w:hAnsi="仿宋"/>
          <w:sz w:val="28"/>
          <w:szCs w:val="28"/>
          <w:bdr w:val="single" w:sz="4" w:space="0" w:color="auto"/>
        </w:rPr>
      </w:pPr>
      <w:r w:rsidRPr="008838E8">
        <w:rPr>
          <w:rFonts w:ascii="仿宋" w:eastAsia="仿宋" w:hAnsi="仿宋" w:hint="eastAsia"/>
          <w:sz w:val="28"/>
          <w:szCs w:val="28"/>
          <w:bdr w:val="single" w:sz="4" w:space="0" w:color="auto"/>
        </w:rPr>
        <w:lastRenderedPageBreak/>
        <w:t>协会动态</w:t>
      </w:r>
    </w:p>
    <w:p w:rsidR="00714E67" w:rsidRPr="008838E8" w:rsidRDefault="00714E67" w:rsidP="00714E67">
      <w:pPr>
        <w:spacing w:line="440" w:lineRule="exact"/>
        <w:rPr>
          <w:rFonts w:ascii="仿宋" w:eastAsia="仿宋" w:hAnsi="仿宋"/>
          <w:sz w:val="28"/>
          <w:szCs w:val="28"/>
        </w:rPr>
      </w:pPr>
    </w:p>
    <w:p w:rsidR="00714E67" w:rsidRPr="00C04798" w:rsidRDefault="00714E67" w:rsidP="00714E67">
      <w:pPr>
        <w:spacing w:line="440" w:lineRule="exact"/>
        <w:jc w:val="center"/>
        <w:rPr>
          <w:rFonts w:asciiTheme="minorEastAsia" w:hAnsiTheme="minorEastAsia"/>
          <w:b/>
          <w:sz w:val="28"/>
          <w:szCs w:val="28"/>
        </w:rPr>
      </w:pPr>
      <w:r w:rsidRPr="00C04798">
        <w:rPr>
          <w:rFonts w:asciiTheme="minorEastAsia" w:hAnsiTheme="minorEastAsia"/>
          <w:b/>
          <w:sz w:val="28"/>
          <w:szCs w:val="28"/>
        </w:rPr>
        <w:t>石化行业：借助搬迁改造 实现绿色发展</w:t>
      </w:r>
    </w:p>
    <w:p w:rsidR="00714E67" w:rsidRDefault="00714E67" w:rsidP="00714E67">
      <w:pPr>
        <w:spacing w:line="440" w:lineRule="exact"/>
        <w:rPr>
          <w:rFonts w:ascii="仿宋" w:eastAsia="仿宋" w:hAnsi="仿宋"/>
          <w:sz w:val="24"/>
        </w:rPr>
      </w:pP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在2018年石油和化工行业绿色发展大会上，中国石油和化学工业联合会会长李寿生指出：“绿色发展既是产业结构优化升级的重要内容，又是推进高质量发展的重要手段，也是关系行业长远发展的系统工程。我国石油和化工行业只有咬紧牙关，爬过这个坡，迈过这道坎，才能真正实现高质量发展。”当前，石油和化工行业面临着更加严格的环保法律法规约束，以及危化品企业需要搬迁入园的现实，绿色发展成为行业高质量发展的必然选择。</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形势不容乐观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不断趋严的环保标准，让本就面临污染治理难度大、技术支撑能力不足等难题的石化行业，又多了一道“紧箍咒”。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据了解，原环保部发布的《石油炼制工业污染物排放标准》《石油化学工业污染物排放标准》中，相关要求已经与发达国家最严标准接轨。工业污染综合排放指标中，二氧化硫、氮氧化物、COD、氨氮的浓度分别为550毫克/立方米、240毫克/立方米、500毫克/升、50毫克/升;石化工业则要求二氧化硫、氮氧化物、COD、氨氮的排放限值为100毫克/立方米、150毫克/立方米、60毫克/升、5毫克/升。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石油和化学工业规划院院长顾宗勤表示，石化工业目前的排放情况不容乐观，废水、化学需氧量、氨氮等排放量大，同时排放了29.7%的石油类污染物、90.7%的挥发酚、62.2%的氰化物和22.8%的砷。面对更加严苛的环保要求，石油化工企业应该积极减排，谋求自身发展。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中国工程院院士、南京大学教授张全兴介绍说，本世纪以来，我国化工产能迅猛发展，2016年全球占比40%，产值比2000年增长近10倍。目前，我国已有5万多家大中型化工企业、1200多家化工园区。化工行业废水浓度高、含盐量高、难降解、毒性大，企业清洁生产程度较低，废水产生量大，资源化难度大。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国家发改委产业协调司石化处杨松峰表示，目前，我国结构性污染问题仍然突出，其中，京津冀、长三角、汾渭平原地区产业结构以重化工为主，能源结构以煤炭为主。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调整产业布局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石化工业绿色发展，首先要优化产业布局，优化资源配置，整合要素流通。”顾宗勤指出，一是选择靠近原料或市场的位置，原材料运输量大的产品，生产要向资源地集中，原料运输量小的产品要向市场靠近，化工原料加工产品要向上游原料靠近。二是生产规模向大型化、一体化发展。三是交通便利化，项目规划应靠近大江大河或铁路。四是生产园区化、集中化，</w:t>
      </w:r>
      <w:r w:rsidRPr="008838E8">
        <w:rPr>
          <w:rFonts w:ascii="仿宋" w:eastAsia="仿宋" w:hAnsi="仿宋"/>
          <w:sz w:val="24"/>
        </w:rPr>
        <w:lastRenderedPageBreak/>
        <w:t xml:space="preserve">便于交通、安全防控、“三废”集中治理，有利于降低生产成本。五是远离居民生活区和环境敏感区。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当前，由于城市规划调整、经济发展需要、行业技术进步、淘汰落后产能等因素，很多危化品生产企业面临搬迁改造或关停。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据介绍，目前，各地搬迁改造实施方案上报工作已全部完成。据初步统计，全国共有需要搬迁改造的企业1200多家，其中，异地搬迁约500家、就地改造360家、关闭退出350家，搬迁任务较重的有江苏、湖北、辽宁、河南、山东等省份。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石油和化学工业规划院工程规划处处长李强认为，危化品生产企业搬迁改造并不是限制石化产业发展，而是协调发展、高质量发展。城镇人口密集区的石化企业，一般建厂时间都较长，安全环保设施水平不高，一些企业接近生命周期末端，搬迁改造是企业调结构、转方式、加快淘汰落后产能、加快新旧动能转换的难得机遇。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企业搬迁不能只是简单地搬，一定要借助搬迁做好下一步计划，在搬迁过程中有所提升。”李强表示，一方面，要淘汰落后工艺、过剩产能以及污染物排放量大的企业，通过转型发展补齐行业短板项目，或产业链中的短板;另一方面，运用先进工艺技术改造，开展数字车间、智能工厂建设，以信息化、智能化应用来提高企业安全和环保水平，围绕高端制造、产业耦合，提升全要素效率。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据悉，已经有部分企业通过搬迁成功进行产业布局。江苏扬农利用搬迁改造，从农药向电子化学品和芳纶等新材料转型，并根据区域特点，完善产业链布局，将不同产品分别搬迁至连云港、南通、宁夏及扬州本地化工园。山东鲁西集团淘汰了老旧工艺合成氨70万吨/年、尿素100万吨/年、复合肥40万吨/年，在新厂区新建聚碳酸酯、己内酰胺等化工新材料项目，同时开展智能工厂建设，并入选工信部智能制造试点示范项目。湖北兴发集团利用搬迁改造机遇，主导产业由磷酸、磷肥向电子化学品转型，其产品已得到中芯国际认可。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全流程绿色化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在调整结构、完善布局的基础上，绿色发展如何实现?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张全兴表示，推进绿色发展的主要思路，是从绿色设计到绿色原辅材料与清洁能源、绿色工艺与设备，再到绿色产品、废物绿色处置全生命周期的污染防治，治理思路也将从重点企业、重点行业，转向重点区域、重点流域，实现由点及面。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顾宗勤认为，全流程绿色化是实现绿色发展的具体手段，产业绿色发展主要涵盖三方面。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一是原料绿色化，即原料分质利用、低品位原料综合利用、新型原料普及代替及开发、伴生资源回收。以氮肥为例，作为其原料，全球使用天然气合成氨生产氮肥的产能占比69%，而我国资源条件较好的合成氨产能约占2/3。因此，氮肥产业布局将更加向原料资源地集中，减</w:t>
      </w:r>
      <w:r w:rsidRPr="008838E8">
        <w:rPr>
          <w:rFonts w:ascii="仿宋" w:eastAsia="仿宋" w:hAnsi="仿宋"/>
          <w:sz w:val="24"/>
        </w:rPr>
        <w:lastRenderedPageBreak/>
        <w:t xml:space="preserve">少污染和损失，褐煤等低阶煤的开发利用得以实现。合成氨可选择天然气或清洁煤炭作为原料，PVC提倡乙烯氧氯化法，二硫化碳行业可以天然气法代替焦炭，磷肥可采用精料进料。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二是生产绿色化，主要是节能减排、节材节水、清洁生产、资源综合利用、循环经济等绿色化过程，以及绿色产品替代、资源利用率提升等。比如，使用分子炼油技术、合成氨先进气化合成技术、磷复肥湿法精制磷酸、离子膜工艺生产氯碱、无钙或少钙焙烧工艺生产铬盐等。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三是过程系统集成绿色化，即产业链延伸、生态产业链构建、过程耦合等绿色化，包括绿色流通和绿色使用，如减少包装，生产尿素涂膜、重质纯碱、水溶性涂料、绿色轮胎。 </w:t>
      </w:r>
    </w:p>
    <w:p w:rsidR="00714E67" w:rsidRPr="008838E8" w:rsidRDefault="00714E67" w:rsidP="00714E67">
      <w:pPr>
        <w:spacing w:line="440" w:lineRule="exact"/>
        <w:rPr>
          <w:rFonts w:ascii="仿宋" w:eastAsia="仿宋" w:hAnsi="仿宋"/>
          <w:sz w:val="24"/>
        </w:rPr>
      </w:pPr>
      <w:r w:rsidRPr="008838E8">
        <w:rPr>
          <w:rFonts w:ascii="仿宋" w:eastAsia="仿宋" w:hAnsi="仿宋"/>
          <w:sz w:val="24"/>
        </w:rPr>
        <w:t xml:space="preserve">　　国务院发展研究中心研究员周宏春表示，对于化工行业来说，发展循环经济是实现绿色发展的主要途径之一。主要有3个路径：纵向延伸，上游废物成为下游原料;横向耦合，使能源、化工、供热、环境形成一体化;园区布局，便于废物交换和资源共享。 </w:t>
      </w:r>
    </w:p>
    <w:p w:rsidR="00714E67" w:rsidRPr="008838E8" w:rsidRDefault="00714E67" w:rsidP="00714E67">
      <w:pPr>
        <w:spacing w:line="440" w:lineRule="exact"/>
        <w:rPr>
          <w:rFonts w:ascii="仿宋" w:eastAsia="仿宋" w:hAnsi="仿宋"/>
          <w:sz w:val="24"/>
        </w:rPr>
      </w:pPr>
    </w:p>
    <w:p w:rsidR="00247EB7" w:rsidRDefault="00247EB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Pr="00B10E6B" w:rsidRDefault="00714E67" w:rsidP="00714E67">
      <w:pPr>
        <w:pStyle w:val="1"/>
        <w:spacing w:before="0" w:beforeAutospacing="0" w:after="0" w:afterAutospacing="0" w:line="600" w:lineRule="atLeast"/>
        <w:rPr>
          <w:rFonts w:asciiTheme="majorEastAsia" w:eastAsiaTheme="majorEastAsia" w:hAnsiTheme="majorEastAsia"/>
          <w:color w:val="333333"/>
          <w:sz w:val="28"/>
          <w:szCs w:val="28"/>
          <w:bdr w:val="single" w:sz="4" w:space="0" w:color="auto"/>
        </w:rPr>
      </w:pPr>
      <w:r w:rsidRPr="00B10E6B">
        <w:rPr>
          <w:rFonts w:asciiTheme="majorEastAsia" w:eastAsiaTheme="majorEastAsia" w:hAnsiTheme="majorEastAsia" w:hint="eastAsia"/>
          <w:color w:val="333333"/>
          <w:sz w:val="28"/>
          <w:szCs w:val="28"/>
          <w:bdr w:val="single" w:sz="4" w:space="0" w:color="auto"/>
        </w:rPr>
        <w:lastRenderedPageBreak/>
        <w:t>综合信息</w:t>
      </w:r>
    </w:p>
    <w:p w:rsidR="00714E67" w:rsidRDefault="00714E67" w:rsidP="00714E67">
      <w:pPr>
        <w:pStyle w:val="1"/>
        <w:spacing w:before="0" w:beforeAutospacing="0" w:after="0" w:afterAutospacing="0" w:line="600" w:lineRule="atLeast"/>
        <w:jc w:val="center"/>
        <w:rPr>
          <w:rFonts w:asciiTheme="majorEastAsia" w:eastAsiaTheme="majorEastAsia" w:hAnsiTheme="majorEastAsia" w:hint="eastAsia"/>
          <w:color w:val="333333"/>
          <w:sz w:val="28"/>
          <w:szCs w:val="28"/>
        </w:rPr>
      </w:pPr>
    </w:p>
    <w:p w:rsidR="00714E67" w:rsidRPr="00B10E6B" w:rsidRDefault="00714E67" w:rsidP="00714E67">
      <w:pPr>
        <w:pStyle w:val="1"/>
        <w:spacing w:before="0" w:beforeAutospacing="0" w:after="0" w:afterAutospacing="0" w:line="600" w:lineRule="atLeast"/>
        <w:jc w:val="center"/>
        <w:rPr>
          <w:rFonts w:asciiTheme="majorEastAsia" w:eastAsiaTheme="majorEastAsia" w:hAnsiTheme="majorEastAsia"/>
          <w:color w:val="333333"/>
          <w:sz w:val="28"/>
          <w:szCs w:val="28"/>
        </w:rPr>
      </w:pPr>
      <w:r w:rsidRPr="00B10E6B">
        <w:rPr>
          <w:rFonts w:asciiTheme="majorEastAsia" w:eastAsiaTheme="majorEastAsia" w:hAnsiTheme="majorEastAsia" w:hint="eastAsia"/>
          <w:color w:val="333333"/>
          <w:sz w:val="28"/>
          <w:szCs w:val="28"/>
        </w:rPr>
        <w:t>工信部2018年团体标准应用示范项目名单出炉</w:t>
      </w:r>
    </w:p>
    <w:p w:rsidR="00714E67" w:rsidRDefault="00714E67" w:rsidP="00714E67">
      <w:pPr>
        <w:pStyle w:val="a5"/>
        <w:spacing w:before="0" w:beforeAutospacing="0" w:after="0" w:afterAutospacing="0" w:line="390" w:lineRule="atLeast"/>
        <w:rPr>
          <w:color w:val="070707"/>
          <w:sz w:val="21"/>
          <w:szCs w:val="21"/>
        </w:rPr>
      </w:pPr>
      <w:r>
        <w:rPr>
          <w:rFonts w:ascii="Times New Roman" w:hAnsi="Times New Roman" w:cs="Times New Roman"/>
          <w:color w:val="070707"/>
          <w:sz w:val="21"/>
          <w:szCs w:val="21"/>
          <w:bdr w:val="none" w:sz="0" w:space="0" w:color="auto" w:frame="1"/>
        </w:rPr>
        <w:t xml:space="preserve">       </w:t>
      </w:r>
    </w:p>
    <w:p w:rsidR="00714E67" w:rsidRDefault="00714E67" w:rsidP="00714E67">
      <w:pPr>
        <w:pStyle w:val="a5"/>
        <w:spacing w:before="0" w:beforeAutospacing="0" w:after="0" w:afterAutospacing="0" w:line="440" w:lineRule="exact"/>
        <w:ind w:firstLine="420"/>
        <w:rPr>
          <w:color w:val="070707"/>
          <w:sz w:val="21"/>
          <w:szCs w:val="21"/>
        </w:rPr>
      </w:pPr>
      <w:r w:rsidRPr="00C31827">
        <w:rPr>
          <w:rFonts w:ascii="仿宋" w:eastAsia="仿宋" w:hAnsi="仿宋" w:hint="eastAsia"/>
          <w:color w:val="070707"/>
          <w:bdr w:val="none" w:sz="0" w:space="0" w:color="auto" w:frame="1"/>
        </w:rPr>
        <w:t>为贯彻落实《中华人民共和国标准化法》的要求，大力培育发展团体标准，支持团体标准的推广应用，经社会团体自愿申报、地方或行业推荐、专家审查和社会公示等环节，</w:t>
      </w:r>
      <w:r w:rsidRPr="00C31827">
        <w:rPr>
          <w:rFonts w:ascii="仿宋" w:eastAsia="仿宋" w:hAnsi="仿宋" w:hint="eastAsia"/>
          <w:color w:val="333333"/>
        </w:rPr>
        <w:t>工业和信息化部</w:t>
      </w:r>
      <w:r w:rsidRPr="00C31827">
        <w:rPr>
          <w:rFonts w:ascii="仿宋" w:eastAsia="仿宋" w:hAnsi="仿宋" w:hint="eastAsia"/>
          <w:color w:val="070707"/>
          <w:bdr w:val="none" w:sz="0" w:space="0" w:color="auto" w:frame="1"/>
        </w:rPr>
        <w:t>遴选出</w:t>
      </w:r>
      <w:r w:rsidRPr="00C31827">
        <w:rPr>
          <w:rFonts w:ascii="仿宋" w:eastAsia="仿宋" w:hAnsi="仿宋" w:cs="Times New Roman"/>
          <w:color w:val="070707"/>
          <w:bdr w:val="none" w:sz="0" w:space="0" w:color="auto" w:frame="1"/>
        </w:rPr>
        <w:t>102</w:t>
      </w:r>
      <w:r w:rsidRPr="00C31827">
        <w:rPr>
          <w:rFonts w:ascii="仿宋" w:eastAsia="仿宋" w:hAnsi="仿宋" w:hint="eastAsia"/>
          <w:color w:val="070707"/>
          <w:bdr w:val="none" w:sz="0" w:space="0" w:color="auto" w:frame="1"/>
        </w:rPr>
        <w:t>项</w:t>
      </w:r>
      <w:r w:rsidRPr="00C31827">
        <w:rPr>
          <w:rFonts w:ascii="仿宋" w:eastAsia="仿宋" w:hAnsi="仿宋" w:cs="Times New Roman"/>
          <w:color w:val="070707"/>
          <w:bdr w:val="none" w:sz="0" w:space="0" w:color="auto" w:frame="1"/>
        </w:rPr>
        <w:t>2018</w:t>
      </w:r>
      <w:r w:rsidRPr="00C31827">
        <w:rPr>
          <w:rFonts w:ascii="仿宋" w:eastAsia="仿宋" w:hAnsi="仿宋" w:hint="eastAsia"/>
          <w:color w:val="070707"/>
          <w:bdr w:val="none" w:sz="0" w:space="0" w:color="auto" w:frame="1"/>
        </w:rPr>
        <w:t>年团体标准应用示范项目，与2018年12月24日在工信部网站公布。</w:t>
      </w:r>
      <w:r w:rsidRPr="00C31827">
        <w:rPr>
          <w:rFonts w:ascii="仿宋" w:eastAsia="仿宋" w:hAnsi="仿宋" w:hint="eastAsia"/>
          <w:color w:val="070707"/>
        </w:rPr>
        <w:br/>
      </w:r>
      <w:r w:rsidRPr="00C31827">
        <w:rPr>
          <w:rFonts w:ascii="Times New Roman" w:eastAsia="仿宋" w:hAnsi="Times New Roman" w:cs="Times New Roman"/>
          <w:color w:val="070707"/>
          <w:sz w:val="21"/>
          <w:szCs w:val="21"/>
          <w:bdr w:val="none" w:sz="0" w:space="0" w:color="auto" w:frame="1"/>
        </w:rPr>
        <w:t>       </w:t>
      </w:r>
      <w:r w:rsidRPr="00C31827">
        <w:rPr>
          <w:rFonts w:ascii="仿宋" w:eastAsia="仿宋" w:hAnsi="仿宋" w:cs="Times New Roman"/>
          <w:color w:val="070707"/>
          <w:sz w:val="21"/>
          <w:szCs w:val="21"/>
          <w:bdr w:val="none" w:sz="0" w:space="0" w:color="auto" w:frame="1"/>
        </w:rPr>
        <w:t xml:space="preserve"> </w:t>
      </w:r>
      <w:r w:rsidRPr="00C31827">
        <w:rPr>
          <w:rFonts w:ascii="仿宋" w:eastAsia="仿宋" w:hAnsi="仿宋" w:hint="eastAsia"/>
          <w:color w:val="070707"/>
          <w:sz w:val="21"/>
          <w:szCs w:val="21"/>
        </w:rPr>
        <w:br/>
      </w:r>
      <w:r>
        <w:rPr>
          <w:rFonts w:ascii="Times New Roman" w:hAnsi="Times New Roman" w:cs="Times New Roman"/>
          <w:color w:val="070707"/>
          <w:sz w:val="21"/>
          <w:szCs w:val="21"/>
          <w:bdr w:val="none" w:sz="0" w:space="0" w:color="auto" w:frame="1"/>
        </w:rPr>
        <w:t xml:space="preserve">　　</w:t>
      </w:r>
      <w:hyperlink r:id="rId10" w:history="1">
        <w:r>
          <w:rPr>
            <w:rStyle w:val="a4"/>
            <w:rFonts w:ascii="Times New Roman" w:hAnsi="Times New Roman" w:cs="Times New Roman"/>
            <w:color w:val="333333"/>
            <w:sz w:val="21"/>
            <w:szCs w:val="21"/>
            <w:bdr w:val="none" w:sz="0" w:space="0" w:color="auto" w:frame="1"/>
          </w:rPr>
          <w:t>附件：</w:t>
        </w:r>
        <w:r>
          <w:rPr>
            <w:rStyle w:val="a4"/>
            <w:rFonts w:ascii="Times New Roman" w:hAnsi="Times New Roman" w:cs="Times New Roman"/>
            <w:color w:val="333333"/>
            <w:sz w:val="21"/>
            <w:szCs w:val="21"/>
            <w:bdr w:val="none" w:sz="0" w:space="0" w:color="auto" w:frame="1"/>
          </w:rPr>
          <w:t>2018</w:t>
        </w:r>
        <w:r>
          <w:rPr>
            <w:rStyle w:val="a4"/>
            <w:rFonts w:ascii="Times New Roman" w:hAnsi="Times New Roman" w:cs="Times New Roman"/>
            <w:color w:val="333333"/>
            <w:sz w:val="21"/>
            <w:szCs w:val="21"/>
            <w:bdr w:val="none" w:sz="0" w:space="0" w:color="auto" w:frame="1"/>
          </w:rPr>
          <w:t>年团体标准应用示范项目名单</w:t>
        </w:r>
      </w:hyperlink>
    </w:p>
    <w:p w:rsidR="00714E67" w:rsidRDefault="00714E67" w:rsidP="00714E67">
      <w:pPr>
        <w:pStyle w:val="a5"/>
        <w:spacing w:before="0" w:beforeAutospacing="0" w:after="0" w:afterAutospacing="0" w:line="390" w:lineRule="atLeast"/>
        <w:rPr>
          <w:rFonts w:ascii="Times New Roman" w:hAnsi="Times New Roman" w:cs="Times New Roman"/>
          <w:color w:val="070707"/>
          <w:sz w:val="21"/>
          <w:szCs w:val="21"/>
          <w:bdr w:val="none" w:sz="0" w:space="0" w:color="auto" w:frame="1"/>
        </w:rPr>
      </w:pPr>
      <w:r>
        <w:rPr>
          <w:rFonts w:ascii="Times New Roman" w:hAnsi="Times New Roman" w:cs="Times New Roman"/>
          <w:color w:val="070707"/>
          <w:sz w:val="21"/>
          <w:szCs w:val="21"/>
          <w:bdr w:val="none" w:sz="0" w:space="0" w:color="auto" w:frame="1"/>
        </w:rPr>
        <w:t xml:space="preserve">       </w:t>
      </w:r>
      <w:hyperlink r:id="rId11" w:history="1">
        <w:r w:rsidRPr="005B43E8">
          <w:rPr>
            <w:rStyle w:val="a4"/>
            <w:rFonts w:ascii="Times New Roman" w:hAnsi="Times New Roman" w:cs="Times New Roman"/>
            <w:sz w:val="21"/>
            <w:szCs w:val="21"/>
            <w:bdr w:val="none" w:sz="0" w:space="0" w:color="auto" w:frame="1"/>
          </w:rPr>
          <w:t>http://www.miit.gov.cn/n1146290/n4388791/c6555295/content.html</w:t>
        </w:r>
      </w:hyperlink>
    </w:p>
    <w:p w:rsidR="00714E67" w:rsidRPr="00B10E6B" w:rsidRDefault="00714E67" w:rsidP="00714E67"/>
    <w:p w:rsidR="00714E67" w:rsidRPr="00714E67" w:rsidRDefault="00714E67">
      <w:pPr>
        <w:rPr>
          <w:rFonts w:hint="eastAsia"/>
          <w:sz w:val="28"/>
          <w:szCs w:val="28"/>
        </w:rPr>
      </w:pPr>
    </w:p>
    <w:p w:rsidR="00FE49C7" w:rsidRDefault="00FE49C7">
      <w:pPr>
        <w:rPr>
          <w:rFonts w:hint="eastAsia"/>
          <w:sz w:val="28"/>
          <w:szCs w:val="28"/>
        </w:rPr>
      </w:pPr>
    </w:p>
    <w:p w:rsidR="00FE49C7" w:rsidRDefault="00FE49C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714E67" w:rsidRDefault="00714E67">
      <w:pPr>
        <w:rPr>
          <w:rFonts w:hint="eastAsia"/>
          <w:sz w:val="28"/>
          <w:szCs w:val="28"/>
        </w:rPr>
      </w:pPr>
    </w:p>
    <w:p w:rsidR="00241CF6" w:rsidRPr="003C4C96" w:rsidRDefault="00241CF6" w:rsidP="00241CF6">
      <w:pPr>
        <w:rPr>
          <w:sz w:val="28"/>
          <w:szCs w:val="28"/>
          <w:bdr w:val="single" w:sz="4" w:space="0" w:color="auto"/>
        </w:rPr>
      </w:pPr>
      <w:r w:rsidRPr="003C4C96">
        <w:rPr>
          <w:rFonts w:hint="eastAsia"/>
          <w:sz w:val="28"/>
          <w:szCs w:val="28"/>
          <w:bdr w:val="single" w:sz="4" w:space="0" w:color="auto"/>
        </w:rPr>
        <w:lastRenderedPageBreak/>
        <w:t>综合信息</w:t>
      </w:r>
    </w:p>
    <w:p w:rsidR="00241CF6" w:rsidRDefault="00241CF6" w:rsidP="00241CF6"/>
    <w:p w:rsidR="00241CF6" w:rsidRPr="003C4C96" w:rsidRDefault="00241CF6" w:rsidP="00241CF6">
      <w:pPr>
        <w:jc w:val="center"/>
        <w:rPr>
          <w:sz w:val="28"/>
          <w:szCs w:val="28"/>
        </w:rPr>
      </w:pPr>
      <w:r w:rsidRPr="003C4C96">
        <w:rPr>
          <w:rFonts w:hint="eastAsia"/>
          <w:sz w:val="28"/>
          <w:szCs w:val="28"/>
        </w:rPr>
        <w:t>不缺钱！环保行业到底缺啥？</w:t>
      </w:r>
    </w:p>
    <w:p w:rsidR="00241CF6" w:rsidRPr="003C4C96" w:rsidRDefault="00241CF6" w:rsidP="00241CF6"/>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2018年对环保行业而言是波诡云谲的一年，许多人过得战战兢兢。</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过去一年多，许多大企业陷入债务危机，由于场面太惨，导致整个行业都感到不适。尤其是许多中小企业，很是受惊。接连不断的债务爆发让行业笼罩在“缺钱”的氛围中。</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那么，环保行业当前的困境是因为缺钱吗？恰恰相反，当前的环保行业除了钱什么都缺。</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过去一年中这些企业爆发的债务危机，完全是咎由自取，非但不是缺钱所致，而是因为市场太好撑死的。这几年来环保市场蛋糕越来越大，许多企业控制不住自己，总想着以蛇的体量吞象，结果可想而知。回过头来看，这些企业但凡有点风险控制意识，就不会死得这么惨。</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事实上，这场危机只是部分人的危机，非但不是行业衰败的迹象，却是市场庞大的表现。</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为什么说环保行业不缺钱？环保行业最大的业主是政府，而近年来政府对环保的投入逐年增加。即便是当前全球经济不景气的情况下，环保市场仍旧在加速增长。另外，“污染防治”是现阶段三大攻坚战之一，是国家关注的“千年大计”，在相当长一段时间内，环保行业都是大市场。</w:t>
      </w:r>
    </w:p>
    <w:p w:rsidR="00241CF6" w:rsidRPr="003C4C96" w:rsidRDefault="00241CF6" w:rsidP="00241CF6">
      <w:pPr>
        <w:rPr>
          <w:rFonts w:ascii="仿宋" w:eastAsia="仿宋" w:hAnsi="仿宋"/>
          <w:sz w:val="24"/>
        </w:rPr>
      </w:pPr>
      <w:r w:rsidRPr="003C4C96">
        <w:rPr>
          <w:rFonts w:ascii="仿宋" w:eastAsia="仿宋" w:hAnsi="仿宋" w:hint="eastAsia"/>
          <w:sz w:val="24"/>
        </w:rPr>
        <w:t>那么，环保行业到底缺些什么？</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撑死的撑死，饿死的饿死</w:t>
      </w:r>
      <w:r>
        <w:rPr>
          <w:rFonts w:ascii="仿宋" w:eastAsia="仿宋" w:hAnsi="仿宋" w:hint="eastAsia"/>
          <w:sz w:val="24"/>
        </w:rPr>
        <w:t xml:space="preserve">  </w:t>
      </w:r>
      <w:r w:rsidRPr="003C4C96">
        <w:rPr>
          <w:rFonts w:ascii="仿宋" w:eastAsia="仿宋" w:hAnsi="仿宋" w:hint="eastAsia"/>
          <w:sz w:val="24"/>
        </w:rPr>
        <w:t>环保行业缺乏良性的市场机制</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环保市场资源的分配和我国人均收入的分布极其相似，顶层的营养过剩，底层营养不足，吃到的撑死了，吃不到的饿死了，剩下的浑浑噩噩，在撑死和饿死的道路上乱跌乱撞。</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自上而下的分配方式造成了“资源至上”的市场价值观，行业内唯“资源”是从，技术、产品毫无话语权，都要绕着“资源”转。</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环保市场的自由度极其有限，大家比的是谁离天近，离天越近“资源”就越充沛。许多企业的危机感不就是来自“资源不足”。</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资源分派失衡就无法形成良性的市场机制，长期来来行业的主要精力在“寻找资源”上，鲜有人会打磨业务本领。环保行业的利润之低、成本之高与此不无关系。</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人们常常会为“谁家走通了什么关系、拿了政府的大单”而津津乐道，但对于技术创新、服务创新却很少论及。</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有的人今天认识了某领导，明天就可以成立一家公司。企业有“资源”做就继续，没“资源”做就关门。</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人人都能参与、人人都在参与</w:t>
      </w:r>
      <w:r>
        <w:rPr>
          <w:rFonts w:ascii="仿宋" w:eastAsia="仿宋" w:hAnsi="仿宋" w:hint="eastAsia"/>
          <w:sz w:val="24"/>
        </w:rPr>
        <w:t xml:space="preserve">  </w:t>
      </w:r>
      <w:r w:rsidRPr="003C4C96">
        <w:rPr>
          <w:rFonts w:ascii="仿宋" w:eastAsia="仿宋" w:hAnsi="仿宋" w:hint="eastAsia"/>
          <w:sz w:val="24"/>
        </w:rPr>
        <w:t>环保行业缺乏完善的行业规范</w:t>
      </w:r>
    </w:p>
    <w:p w:rsidR="00241CF6" w:rsidRPr="003C4C96" w:rsidRDefault="00241CF6" w:rsidP="00241CF6">
      <w:pPr>
        <w:rPr>
          <w:rFonts w:ascii="仿宋" w:eastAsia="仿宋" w:hAnsi="仿宋"/>
          <w:sz w:val="24"/>
        </w:rPr>
      </w:pPr>
      <w:r w:rsidRPr="003C4C96">
        <w:rPr>
          <w:rFonts w:eastAsia="仿宋" w:hint="eastAsia"/>
          <w:sz w:val="24"/>
        </w:rPr>
        <w:t> </w:t>
      </w:r>
      <w:r>
        <w:rPr>
          <w:rFonts w:eastAsia="仿宋" w:hint="eastAsia"/>
          <w:sz w:val="24"/>
        </w:rPr>
        <w:t xml:space="preserve">    </w:t>
      </w:r>
      <w:r w:rsidRPr="003C4C96">
        <w:rPr>
          <w:rFonts w:ascii="仿宋" w:eastAsia="仿宋" w:hAnsi="仿宋" w:hint="eastAsia"/>
          <w:sz w:val="24"/>
        </w:rPr>
        <w:t>环保行业的“山寨”现象毫不亚于电子行业的华强北。随便一个人掏出名片来都是某总、某工。事实上，大家对彼此的斤两心照不宣。</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一个人人都能参与、人人都在参与的行业是不靠谱的。由于缺乏机制、竞争混乱，环保行业有些领域至今仍旧处在拼价格的乱战当中。</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低价竞争的结果是，企业赔本赚吆喝、业主被坑惨、行业发展畸形，所以缺乏规范、恶性竞争导致了无人受益的糟糕局面，不少企业死于这种不健康的营商环境。</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此外，行业内还存在一种不可思议的“占地盘”思想，有些企业天真的认为只要抢到项目就能盈利，盲目做大做多项目，甚至赔了钱也要做，甚至病态到了打肿脸充胖子的地步。</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这种现象是行业发展畸形进而导致从业者经营心态畸变的结果，不健康的营商环境导致从业者的追求了一种变态的价值。而更加糟糕的是，这又会进一步会导致官方和资本对环保市场的认知失实，导致行业的状态进一步恶化。行业因此陷入了一种恶性循环。</w:t>
      </w:r>
    </w:p>
    <w:p w:rsidR="00241CF6" w:rsidRPr="003C4C96" w:rsidRDefault="00241CF6" w:rsidP="00241CF6">
      <w:pPr>
        <w:rPr>
          <w:rFonts w:ascii="仿宋" w:eastAsia="仿宋" w:hAnsi="仿宋"/>
          <w:sz w:val="24"/>
        </w:rPr>
      </w:pPr>
      <w:r>
        <w:rPr>
          <w:rFonts w:ascii="仿宋" w:eastAsia="仿宋" w:hAnsi="仿宋" w:hint="eastAsia"/>
          <w:sz w:val="24"/>
        </w:rPr>
        <w:lastRenderedPageBreak/>
        <w:t xml:space="preserve">    </w:t>
      </w:r>
      <w:r w:rsidRPr="003C4C96">
        <w:rPr>
          <w:rFonts w:ascii="仿宋" w:eastAsia="仿宋" w:hAnsi="仿宋" w:hint="eastAsia"/>
          <w:sz w:val="24"/>
        </w:rPr>
        <w:t>技术人才得不到应有的地位</w:t>
      </w:r>
      <w:r>
        <w:rPr>
          <w:rFonts w:ascii="仿宋" w:eastAsia="仿宋" w:hAnsi="仿宋" w:hint="eastAsia"/>
          <w:sz w:val="24"/>
        </w:rPr>
        <w:t xml:space="preserve">  </w:t>
      </w:r>
      <w:r w:rsidRPr="003C4C96">
        <w:rPr>
          <w:rFonts w:ascii="仿宋" w:eastAsia="仿宋" w:hAnsi="仿宋" w:hint="eastAsia"/>
          <w:sz w:val="24"/>
        </w:rPr>
        <w:t>环保行业缺乏人才以及对人才的尊重</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一直以来，环保行业被认为是没有技术壁垒的，甚至做环保一度被视为是拼装设备的。整个行业对技术、工艺有严重的误解和曲解，这导致环保行业的整体能力长期得不到发展。</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在环保行业内，酒量比嘴皮子好使，嘴皮子比技术工好使，技术人员的处境是很憋屈的。面对一个工程，老板比项目经理懂得多，项目经理比技术总工懂得多。工程质量上去了，技术人员要背利润太少的锅，利润上去了，技术人员要背工程质量太差的锅。</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问题的根源在于行业不以效果为导向，技术人员得不到重视，反而导致江湖术士大行其道。这样的格局不改变，环保行业的整体水平得不到提升。</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盲目发展、效率低下、管理混乱</w:t>
      </w:r>
      <w:r>
        <w:rPr>
          <w:rFonts w:ascii="仿宋" w:eastAsia="仿宋" w:hAnsi="仿宋" w:hint="eastAsia"/>
          <w:sz w:val="24"/>
        </w:rPr>
        <w:t xml:space="preserve">  </w:t>
      </w:r>
      <w:r w:rsidRPr="003C4C96">
        <w:rPr>
          <w:rFonts w:ascii="仿宋" w:eastAsia="仿宋" w:hAnsi="仿宋" w:hint="eastAsia"/>
          <w:sz w:val="24"/>
        </w:rPr>
        <w:t>环保行业缺乏科学的管理和规划</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环保行业整体上处在草莽时代，很少有企业做战略规划，多数企业的宗旨就是“有什么干什么，能干什么干什么”，基本上不会思考行业如何发展，自身如何发展等问题。</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许多企业抱着得过且过的心态做事，不会去思考明天也不想着改善当下。对未来永远持观望态，一无抓住机会的眼光，二无抵抗风险的能力。</w:t>
      </w:r>
    </w:p>
    <w:p w:rsidR="00241CF6" w:rsidRPr="003C4C96" w:rsidRDefault="00241CF6" w:rsidP="00241CF6">
      <w:pPr>
        <w:rPr>
          <w:rFonts w:ascii="仿宋" w:eastAsia="仿宋" w:hAnsi="仿宋"/>
          <w:sz w:val="24"/>
        </w:rPr>
      </w:pPr>
      <w:r>
        <w:rPr>
          <w:rFonts w:ascii="仿宋" w:eastAsia="仿宋" w:hAnsi="仿宋" w:hint="eastAsia"/>
          <w:sz w:val="24"/>
        </w:rPr>
        <w:t xml:space="preserve">    </w:t>
      </w:r>
      <w:r w:rsidRPr="003C4C96">
        <w:rPr>
          <w:rFonts w:ascii="仿宋" w:eastAsia="仿宋" w:hAnsi="仿宋" w:hint="eastAsia"/>
          <w:sz w:val="24"/>
        </w:rPr>
        <w:t>大多数企业管理上也十分粗放，效率低下，经营成本却极高，往近不能做好项目，往远不能扩大规模，企业整体的状态岌岌可危。</w:t>
      </w:r>
    </w:p>
    <w:p w:rsidR="00241CF6" w:rsidRPr="003C4C96" w:rsidRDefault="00241CF6" w:rsidP="00241CF6">
      <w:pPr>
        <w:rPr>
          <w:rFonts w:ascii="仿宋" w:eastAsia="仿宋" w:hAnsi="仿宋"/>
          <w:sz w:val="24"/>
        </w:rPr>
      </w:pPr>
      <w:r>
        <w:rPr>
          <w:rFonts w:ascii="仿宋" w:eastAsia="仿宋" w:hAnsi="仿宋" w:hint="eastAsia"/>
          <w:sz w:val="24"/>
        </w:rPr>
        <w:t xml:space="preserve">    对于环保行业，</w:t>
      </w:r>
      <w:r w:rsidRPr="003C4C96">
        <w:rPr>
          <w:rFonts w:ascii="仿宋" w:eastAsia="仿宋" w:hAnsi="仿宋" w:hint="eastAsia"/>
          <w:sz w:val="24"/>
        </w:rPr>
        <w:t>当下未必是最好的时代，但绝对是不错的时代。企业能不能很好的发展，更多的还是要看自己。</w:t>
      </w:r>
    </w:p>
    <w:p w:rsidR="00241CF6" w:rsidRPr="003C4C96" w:rsidRDefault="00241CF6" w:rsidP="00241CF6">
      <w:pPr>
        <w:rPr>
          <w:rFonts w:ascii="仿宋" w:eastAsia="仿宋" w:hAnsi="仿宋"/>
          <w:sz w:val="24"/>
        </w:rPr>
      </w:pPr>
    </w:p>
    <w:p w:rsidR="00241CF6" w:rsidRPr="003C4C96" w:rsidRDefault="00241CF6" w:rsidP="00241CF6">
      <w:pPr>
        <w:rPr>
          <w:rFonts w:ascii="仿宋" w:eastAsia="仿宋" w:hAnsi="仿宋"/>
          <w:sz w:val="24"/>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Pr="009A5646" w:rsidRDefault="00241CF6" w:rsidP="00241CF6">
      <w:pPr>
        <w:widowControl/>
        <w:shd w:val="clear" w:color="auto" w:fill="F9F9F9"/>
        <w:spacing w:line="480" w:lineRule="atLeast"/>
        <w:jc w:val="left"/>
        <w:outlineLvl w:val="0"/>
        <w:rPr>
          <w:rFonts w:asciiTheme="majorEastAsia" w:eastAsiaTheme="majorEastAsia" w:hAnsiTheme="majorEastAsia" w:cs="宋体"/>
          <w:b/>
          <w:bCs/>
          <w:color w:val="333333"/>
          <w:kern w:val="36"/>
          <w:sz w:val="28"/>
          <w:szCs w:val="28"/>
          <w:bdr w:val="single" w:sz="4" w:space="0" w:color="auto"/>
        </w:rPr>
      </w:pPr>
      <w:r w:rsidRPr="009A5646">
        <w:rPr>
          <w:rFonts w:asciiTheme="majorEastAsia" w:eastAsiaTheme="majorEastAsia" w:hAnsiTheme="majorEastAsia" w:cs="宋体" w:hint="eastAsia"/>
          <w:b/>
          <w:bCs/>
          <w:color w:val="333333"/>
          <w:kern w:val="36"/>
          <w:sz w:val="28"/>
          <w:szCs w:val="28"/>
          <w:bdr w:val="single" w:sz="4" w:space="0" w:color="auto"/>
        </w:rPr>
        <w:lastRenderedPageBreak/>
        <w:t>综合信息</w:t>
      </w:r>
    </w:p>
    <w:p w:rsidR="00241CF6" w:rsidRDefault="00241CF6" w:rsidP="00241CF6">
      <w:pPr>
        <w:widowControl/>
        <w:shd w:val="clear" w:color="auto" w:fill="F9F9F9"/>
        <w:spacing w:line="480" w:lineRule="atLeast"/>
        <w:jc w:val="center"/>
        <w:outlineLvl w:val="0"/>
        <w:rPr>
          <w:rFonts w:asciiTheme="majorEastAsia" w:eastAsiaTheme="majorEastAsia" w:hAnsiTheme="majorEastAsia" w:cs="宋体"/>
          <w:bCs/>
          <w:color w:val="333333"/>
          <w:kern w:val="36"/>
          <w:sz w:val="28"/>
          <w:szCs w:val="28"/>
        </w:rPr>
      </w:pPr>
    </w:p>
    <w:p w:rsidR="00241CF6" w:rsidRPr="00B338A6" w:rsidRDefault="00241CF6" w:rsidP="00241CF6">
      <w:pPr>
        <w:widowControl/>
        <w:shd w:val="clear" w:color="auto" w:fill="F9F9F9"/>
        <w:spacing w:line="480" w:lineRule="atLeast"/>
        <w:jc w:val="center"/>
        <w:outlineLvl w:val="0"/>
        <w:rPr>
          <w:rFonts w:asciiTheme="majorEastAsia" w:eastAsiaTheme="majorEastAsia" w:hAnsiTheme="majorEastAsia" w:cs="宋体"/>
          <w:bCs/>
          <w:color w:val="333333"/>
          <w:kern w:val="36"/>
          <w:sz w:val="28"/>
          <w:szCs w:val="28"/>
        </w:rPr>
      </w:pPr>
      <w:r w:rsidRPr="00B338A6">
        <w:rPr>
          <w:rFonts w:asciiTheme="majorEastAsia" w:eastAsiaTheme="majorEastAsia" w:hAnsiTheme="majorEastAsia" w:cs="宋体" w:hint="eastAsia"/>
          <w:bCs/>
          <w:color w:val="333333"/>
          <w:kern w:val="36"/>
          <w:sz w:val="28"/>
          <w:szCs w:val="28"/>
        </w:rPr>
        <w:t>工信部公告发布</w:t>
      </w:r>
      <w:r w:rsidRPr="00B338A6">
        <w:rPr>
          <w:rFonts w:asciiTheme="majorEastAsia" w:eastAsiaTheme="majorEastAsia" w:hAnsiTheme="majorEastAsia" w:hint="eastAsia"/>
          <w:color w:val="070707"/>
          <w:sz w:val="28"/>
          <w:szCs w:val="28"/>
        </w:rPr>
        <w:t>《产业发展与转移指导目录（</w:t>
      </w:r>
      <w:r w:rsidRPr="00B338A6">
        <w:rPr>
          <w:rFonts w:asciiTheme="majorEastAsia" w:eastAsiaTheme="majorEastAsia" w:hAnsiTheme="majorEastAsia"/>
          <w:color w:val="070707"/>
          <w:sz w:val="28"/>
          <w:szCs w:val="28"/>
        </w:rPr>
        <w:t>2018</w:t>
      </w:r>
      <w:r w:rsidRPr="00B338A6">
        <w:rPr>
          <w:rFonts w:asciiTheme="majorEastAsia" w:eastAsiaTheme="majorEastAsia" w:hAnsiTheme="majorEastAsia" w:hint="eastAsia"/>
          <w:color w:val="070707"/>
          <w:sz w:val="28"/>
          <w:szCs w:val="28"/>
        </w:rPr>
        <w:t>年本）》</w:t>
      </w:r>
    </w:p>
    <w:p w:rsidR="00241CF6" w:rsidRDefault="00241CF6" w:rsidP="00241CF6">
      <w:pPr>
        <w:widowControl/>
        <w:shd w:val="clear" w:color="auto" w:fill="F9F9F9"/>
        <w:spacing w:line="480" w:lineRule="atLeast"/>
        <w:jc w:val="center"/>
        <w:outlineLvl w:val="0"/>
        <w:rPr>
          <w:rFonts w:asciiTheme="majorEastAsia" w:eastAsiaTheme="majorEastAsia" w:hAnsiTheme="majorEastAsia" w:cs="宋体"/>
          <w:b/>
          <w:bCs/>
          <w:color w:val="333333"/>
          <w:kern w:val="36"/>
          <w:sz w:val="30"/>
          <w:szCs w:val="30"/>
        </w:rPr>
      </w:pPr>
    </w:p>
    <w:p w:rsidR="00241CF6" w:rsidRPr="00B455CB" w:rsidRDefault="00241CF6" w:rsidP="00241CF6">
      <w:pPr>
        <w:widowControl/>
        <w:shd w:val="clear" w:color="auto" w:fill="F9F9F9"/>
        <w:spacing w:line="480" w:lineRule="atLeast"/>
        <w:jc w:val="center"/>
        <w:outlineLvl w:val="0"/>
        <w:rPr>
          <w:rFonts w:asciiTheme="majorEastAsia" w:eastAsiaTheme="majorEastAsia" w:hAnsiTheme="majorEastAsia" w:cs="宋体"/>
          <w:b/>
          <w:bCs/>
          <w:color w:val="333333"/>
          <w:kern w:val="36"/>
          <w:sz w:val="30"/>
          <w:szCs w:val="30"/>
        </w:rPr>
      </w:pPr>
      <w:r w:rsidRPr="00B455CB">
        <w:rPr>
          <w:rFonts w:asciiTheme="majorEastAsia" w:eastAsiaTheme="majorEastAsia" w:hAnsiTheme="majorEastAsia" w:cs="宋体" w:hint="eastAsia"/>
          <w:b/>
          <w:bCs/>
          <w:color w:val="333333"/>
          <w:kern w:val="36"/>
          <w:sz w:val="30"/>
          <w:szCs w:val="30"/>
        </w:rPr>
        <w:t>中华人民共和国工业和信息化部公告</w:t>
      </w:r>
    </w:p>
    <w:p w:rsidR="00241CF6" w:rsidRPr="00E16C4A" w:rsidRDefault="00241CF6" w:rsidP="00241CF6">
      <w:pPr>
        <w:spacing w:line="720" w:lineRule="atLeast"/>
        <w:jc w:val="center"/>
        <w:rPr>
          <w:rFonts w:asciiTheme="minorEastAsia" w:hAnsiTheme="minorEastAsia"/>
          <w:color w:val="000000"/>
          <w:sz w:val="24"/>
        </w:rPr>
      </w:pPr>
      <w:r w:rsidRPr="00E16C4A">
        <w:rPr>
          <w:rFonts w:asciiTheme="minorEastAsia" w:hAnsiTheme="minorEastAsia"/>
          <w:color w:val="000000"/>
          <w:sz w:val="24"/>
        </w:rPr>
        <w:t>2018年</w:t>
      </w:r>
      <w:r>
        <w:rPr>
          <w:rFonts w:asciiTheme="minorEastAsia" w:hAnsiTheme="minorEastAsia" w:hint="eastAsia"/>
          <w:color w:val="000000"/>
          <w:sz w:val="24"/>
        </w:rPr>
        <w:t xml:space="preserve"> </w:t>
      </w:r>
      <w:r w:rsidRPr="00E16C4A">
        <w:rPr>
          <w:rFonts w:asciiTheme="minorEastAsia" w:hAnsiTheme="minorEastAsia"/>
          <w:color w:val="000000"/>
          <w:sz w:val="24"/>
        </w:rPr>
        <w:t>第66号</w:t>
      </w:r>
    </w:p>
    <w:p w:rsidR="00241CF6" w:rsidRPr="00E16C4A" w:rsidRDefault="00241CF6" w:rsidP="00241CF6">
      <w:pPr>
        <w:spacing w:line="480" w:lineRule="atLeast"/>
        <w:jc w:val="center"/>
        <w:rPr>
          <w:rFonts w:asciiTheme="minorEastAsia" w:hAnsiTheme="minorEastAsia"/>
          <w:color w:val="333333"/>
          <w:sz w:val="24"/>
        </w:rPr>
      </w:pPr>
      <w:r w:rsidRPr="00E16C4A">
        <w:rPr>
          <w:rFonts w:asciiTheme="minorEastAsia" w:hAnsiTheme="minorEastAsia" w:hint="eastAsia"/>
          <w:color w:val="333333"/>
          <w:sz w:val="24"/>
        </w:rPr>
        <w:t> </w:t>
      </w:r>
    </w:p>
    <w:p w:rsidR="00241CF6" w:rsidRPr="009A5646" w:rsidRDefault="00241CF6" w:rsidP="00241CF6">
      <w:pPr>
        <w:pStyle w:val="a5"/>
        <w:spacing w:before="0" w:beforeAutospacing="0" w:after="240" w:afterAutospacing="0" w:line="360" w:lineRule="atLeast"/>
        <w:ind w:firstLine="480"/>
        <w:rPr>
          <w:rFonts w:ascii="仿宋" w:eastAsia="仿宋" w:hAnsi="仿宋"/>
          <w:color w:val="070707"/>
        </w:rPr>
      </w:pPr>
      <w:r w:rsidRPr="009A5646">
        <w:rPr>
          <w:rFonts w:ascii="仿宋" w:eastAsia="仿宋" w:hAnsi="仿宋" w:hint="eastAsia"/>
          <w:color w:val="070707"/>
        </w:rPr>
        <w:t>为贯彻落实党中央、国务院关于高质量发展和区域协调发展的决策部署，深入推进产业有序转移和转型升级，工业和信息化部对《产业转移指导目录（</w:t>
      </w:r>
      <w:r w:rsidRPr="009A5646">
        <w:rPr>
          <w:rFonts w:ascii="仿宋" w:eastAsia="仿宋" w:hAnsi="仿宋" w:cs="Times New Roman"/>
          <w:color w:val="070707"/>
        </w:rPr>
        <w:t>2012</w:t>
      </w:r>
      <w:r w:rsidRPr="009A5646">
        <w:rPr>
          <w:rFonts w:ascii="仿宋" w:eastAsia="仿宋" w:hAnsi="仿宋" w:hint="eastAsia"/>
          <w:color w:val="070707"/>
        </w:rPr>
        <w:t>年本）》进行了修订，形成《产业发展与转移指导目录（</w:t>
      </w:r>
      <w:r w:rsidRPr="009A5646">
        <w:rPr>
          <w:rFonts w:ascii="仿宋" w:eastAsia="仿宋" w:hAnsi="仿宋" w:cs="Times New Roman"/>
          <w:color w:val="070707"/>
        </w:rPr>
        <w:t>2018</w:t>
      </w:r>
      <w:r w:rsidRPr="009A5646">
        <w:rPr>
          <w:rFonts w:ascii="仿宋" w:eastAsia="仿宋" w:hAnsi="仿宋" w:hint="eastAsia"/>
          <w:color w:val="070707"/>
        </w:rPr>
        <w:t>年本）》，现予公告。</w:t>
      </w:r>
      <w:r w:rsidRPr="009A5646">
        <w:rPr>
          <w:rFonts w:ascii="仿宋" w:eastAsia="仿宋" w:hAnsi="仿宋" w:hint="eastAsia"/>
          <w:color w:val="070707"/>
        </w:rPr>
        <w:br/>
      </w:r>
      <w:r w:rsidRPr="009A5646">
        <w:rPr>
          <w:rFonts w:asciiTheme="minorEastAsia" w:eastAsia="仿宋" w:hAnsiTheme="minorEastAsia" w:hint="eastAsia"/>
          <w:color w:val="070707"/>
        </w:rPr>
        <w:t>   </w:t>
      </w:r>
    </w:p>
    <w:p w:rsidR="00241CF6" w:rsidRPr="00E16C4A" w:rsidRDefault="00241CF6" w:rsidP="00241CF6">
      <w:pPr>
        <w:pStyle w:val="a5"/>
        <w:spacing w:before="0" w:beforeAutospacing="0" w:after="0" w:afterAutospacing="0" w:line="312" w:lineRule="atLeast"/>
        <w:ind w:firstLine="480"/>
        <w:rPr>
          <w:rFonts w:asciiTheme="minorEastAsia" w:eastAsiaTheme="minorEastAsia" w:hAnsiTheme="minorEastAsia"/>
          <w:color w:val="070707"/>
        </w:rPr>
      </w:pPr>
      <w:r w:rsidRPr="00E16C4A">
        <w:rPr>
          <w:rFonts w:asciiTheme="minorEastAsia" w:eastAsiaTheme="minorEastAsia" w:hAnsiTheme="minorEastAsia" w:hint="eastAsia"/>
          <w:color w:val="070707"/>
        </w:rPr>
        <w:t>附件：</w:t>
      </w:r>
      <w:hyperlink r:id="rId12" w:history="1">
        <w:r w:rsidRPr="00E16C4A">
          <w:rPr>
            <w:rStyle w:val="a4"/>
            <w:rFonts w:asciiTheme="minorEastAsia" w:eastAsiaTheme="minorEastAsia" w:hAnsiTheme="minorEastAsia" w:hint="eastAsia"/>
            <w:color w:val="333333"/>
          </w:rPr>
          <w:t>产业发展与转移指导目录（2018年本）</w:t>
        </w:r>
      </w:hyperlink>
      <w:r>
        <w:rPr>
          <w:rFonts w:asciiTheme="minorEastAsia" w:eastAsiaTheme="minorEastAsia" w:hAnsiTheme="minorEastAsia" w:hint="eastAsia"/>
          <w:color w:val="070707"/>
        </w:rPr>
        <w:t>（见原文）</w:t>
      </w:r>
    </w:p>
    <w:p w:rsidR="00241CF6" w:rsidRPr="00E16C4A" w:rsidRDefault="00241CF6" w:rsidP="00241CF6">
      <w:pPr>
        <w:pStyle w:val="a5"/>
        <w:spacing w:before="0" w:beforeAutospacing="0" w:after="0" w:afterAutospacing="0" w:line="312" w:lineRule="atLeast"/>
        <w:ind w:firstLine="480"/>
        <w:rPr>
          <w:rFonts w:asciiTheme="minorEastAsia" w:eastAsiaTheme="minorEastAsia" w:hAnsiTheme="minorEastAsia"/>
          <w:color w:val="070707"/>
        </w:rPr>
      </w:pPr>
      <w:r w:rsidRPr="00E16C4A">
        <w:rPr>
          <w:rFonts w:asciiTheme="minorEastAsia" w:eastAsiaTheme="minorEastAsia" w:hAnsiTheme="minorEastAsia" w:hint="eastAsia"/>
          <w:color w:val="070707"/>
        </w:rPr>
        <w:t>  </w:t>
      </w:r>
    </w:p>
    <w:p w:rsidR="00241CF6" w:rsidRPr="00E16C4A" w:rsidRDefault="00241CF6" w:rsidP="00241CF6">
      <w:pPr>
        <w:pStyle w:val="a5"/>
        <w:spacing w:before="0" w:beforeAutospacing="0" w:after="0" w:afterAutospacing="0" w:line="312" w:lineRule="atLeast"/>
        <w:ind w:firstLine="480"/>
        <w:jc w:val="right"/>
        <w:rPr>
          <w:rFonts w:asciiTheme="minorEastAsia" w:eastAsiaTheme="minorEastAsia" w:hAnsiTheme="minorEastAsia"/>
          <w:color w:val="070707"/>
        </w:rPr>
      </w:pPr>
      <w:r w:rsidRPr="00E16C4A">
        <w:rPr>
          <w:rFonts w:asciiTheme="minorEastAsia" w:eastAsiaTheme="minorEastAsia" w:hAnsiTheme="minorEastAsia" w:hint="eastAsia"/>
          <w:color w:val="070707"/>
        </w:rPr>
        <w:t>工业和信息化部</w:t>
      </w:r>
      <w:r w:rsidRPr="00E16C4A">
        <w:rPr>
          <w:rFonts w:asciiTheme="minorEastAsia" w:eastAsiaTheme="minorEastAsia" w:hAnsiTheme="minorEastAsia" w:hint="eastAsia"/>
          <w:color w:val="070707"/>
        </w:rPr>
        <w:br/>
      </w:r>
      <w:r w:rsidRPr="00E16C4A">
        <w:rPr>
          <w:rFonts w:asciiTheme="minorEastAsia" w:eastAsiaTheme="minorEastAsia" w:hAnsiTheme="minorEastAsia" w:cs="Times New Roman"/>
          <w:color w:val="070707"/>
        </w:rPr>
        <w:t>2018</w:t>
      </w:r>
      <w:r w:rsidRPr="00E16C4A">
        <w:rPr>
          <w:rFonts w:asciiTheme="minorEastAsia" w:eastAsiaTheme="minorEastAsia" w:hAnsiTheme="minorEastAsia" w:hint="eastAsia"/>
          <w:color w:val="070707"/>
        </w:rPr>
        <w:t>年</w:t>
      </w:r>
      <w:r w:rsidRPr="00E16C4A">
        <w:rPr>
          <w:rFonts w:asciiTheme="minorEastAsia" w:eastAsiaTheme="minorEastAsia" w:hAnsiTheme="minorEastAsia" w:cs="Times New Roman"/>
          <w:color w:val="070707"/>
        </w:rPr>
        <w:t>12</w:t>
      </w:r>
      <w:r w:rsidRPr="00E16C4A">
        <w:rPr>
          <w:rFonts w:asciiTheme="minorEastAsia" w:eastAsiaTheme="minorEastAsia" w:hAnsiTheme="minorEastAsia" w:hint="eastAsia"/>
          <w:color w:val="070707"/>
        </w:rPr>
        <w:t>月</w:t>
      </w:r>
      <w:r w:rsidRPr="00E16C4A">
        <w:rPr>
          <w:rFonts w:asciiTheme="minorEastAsia" w:eastAsiaTheme="minorEastAsia" w:hAnsiTheme="minorEastAsia" w:cs="Times New Roman"/>
          <w:color w:val="070707"/>
        </w:rPr>
        <w:t>20</w:t>
      </w:r>
      <w:r w:rsidRPr="00E16C4A">
        <w:rPr>
          <w:rFonts w:asciiTheme="minorEastAsia" w:eastAsiaTheme="minorEastAsia" w:hAnsiTheme="minorEastAsia" w:hint="eastAsia"/>
          <w:color w:val="070707"/>
        </w:rPr>
        <w:t>日</w:t>
      </w:r>
    </w:p>
    <w:p w:rsidR="00241CF6" w:rsidRPr="00B455CB" w:rsidRDefault="00241CF6" w:rsidP="00241CF6">
      <w:pPr>
        <w:pStyle w:val="a5"/>
        <w:spacing w:before="0" w:beforeAutospacing="0" w:after="0" w:afterAutospacing="0" w:line="390" w:lineRule="atLeast"/>
        <w:ind w:firstLineChars="300" w:firstLine="720"/>
        <w:rPr>
          <w:rFonts w:asciiTheme="minorEastAsia" w:eastAsiaTheme="minorEastAsia" w:hAnsiTheme="minorEastAsia"/>
          <w:color w:val="070707"/>
          <w:bdr w:val="none" w:sz="0" w:space="0" w:color="auto" w:frame="1"/>
        </w:rPr>
      </w:pPr>
    </w:p>
    <w:p w:rsidR="00241CF6" w:rsidRDefault="00241CF6" w:rsidP="00241CF6">
      <w:pPr>
        <w:pStyle w:val="a5"/>
        <w:spacing w:before="0" w:beforeAutospacing="0" w:after="0" w:afterAutospacing="0" w:line="390" w:lineRule="atLeast"/>
        <w:ind w:firstLineChars="300" w:firstLine="720"/>
        <w:rPr>
          <w:rFonts w:asciiTheme="minorEastAsia" w:eastAsiaTheme="minorEastAsia" w:hAnsiTheme="minorEastAsia"/>
          <w:color w:val="070707"/>
          <w:bdr w:val="none" w:sz="0" w:space="0" w:color="auto" w:frame="1"/>
        </w:rPr>
      </w:pPr>
      <w:hyperlink r:id="rId13" w:history="1">
        <w:r w:rsidRPr="00035636">
          <w:rPr>
            <w:rStyle w:val="a4"/>
            <w:rFonts w:asciiTheme="minorEastAsia" w:eastAsiaTheme="minorEastAsia" w:hAnsiTheme="minorEastAsia"/>
            <w:bdr w:val="none" w:sz="0" w:space="0" w:color="auto" w:frame="1"/>
          </w:rPr>
          <w:t>http://www.miit.gov.cn/n1146295/n1652858/n1652930/n4509607/c6568885/content.html</w:t>
        </w:r>
      </w:hyperlink>
    </w:p>
    <w:p w:rsidR="00241CF6" w:rsidRDefault="00241CF6" w:rsidP="00241CF6">
      <w:pPr>
        <w:pStyle w:val="a5"/>
        <w:spacing w:before="0" w:beforeAutospacing="0" w:after="0" w:afterAutospacing="0" w:line="390" w:lineRule="atLeast"/>
        <w:ind w:firstLineChars="300" w:firstLine="720"/>
        <w:rPr>
          <w:rFonts w:asciiTheme="minorEastAsia" w:eastAsiaTheme="minorEastAsia" w:hAnsiTheme="minorEastAsia"/>
          <w:color w:val="070707"/>
          <w:bdr w:val="none" w:sz="0" w:space="0" w:color="auto" w:frame="1"/>
        </w:rPr>
      </w:pPr>
    </w:p>
    <w:p w:rsidR="00241CF6" w:rsidRPr="009A5646" w:rsidRDefault="00241CF6" w:rsidP="00241CF6"/>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Pr="00AE0A9A" w:rsidRDefault="00241CF6" w:rsidP="00241CF6">
      <w:pPr>
        <w:rPr>
          <w:sz w:val="28"/>
          <w:szCs w:val="28"/>
          <w:bdr w:val="single" w:sz="4" w:space="0" w:color="auto"/>
        </w:rPr>
      </w:pPr>
      <w:r w:rsidRPr="00AE0A9A">
        <w:rPr>
          <w:rFonts w:hint="eastAsia"/>
          <w:sz w:val="28"/>
          <w:szCs w:val="28"/>
          <w:bdr w:val="single" w:sz="4" w:space="0" w:color="auto"/>
        </w:rPr>
        <w:lastRenderedPageBreak/>
        <w:t>综合信息</w:t>
      </w:r>
    </w:p>
    <w:p w:rsidR="00241CF6" w:rsidRDefault="00241CF6" w:rsidP="00241CF6">
      <w:pPr>
        <w:pStyle w:val="a5"/>
        <w:spacing w:before="0" w:beforeAutospacing="0" w:after="0" w:afterAutospacing="0" w:line="390" w:lineRule="atLeast"/>
        <w:ind w:firstLineChars="300" w:firstLine="843"/>
        <w:rPr>
          <w:rFonts w:asciiTheme="majorEastAsia" w:eastAsiaTheme="majorEastAsia" w:hAnsiTheme="majorEastAsia"/>
          <w:b/>
          <w:bCs/>
          <w:kern w:val="36"/>
          <w:sz w:val="28"/>
          <w:szCs w:val="28"/>
        </w:rPr>
      </w:pPr>
    </w:p>
    <w:p w:rsidR="00241CF6" w:rsidRPr="006F348C" w:rsidRDefault="00241CF6" w:rsidP="00241CF6">
      <w:pPr>
        <w:pStyle w:val="a5"/>
        <w:spacing w:before="0" w:beforeAutospacing="0" w:after="0" w:afterAutospacing="0" w:line="390" w:lineRule="atLeast"/>
        <w:ind w:firstLineChars="300" w:firstLine="843"/>
        <w:rPr>
          <w:rFonts w:asciiTheme="majorEastAsia" w:eastAsiaTheme="majorEastAsia" w:hAnsiTheme="majorEastAsia"/>
          <w:b/>
          <w:bCs/>
          <w:kern w:val="36"/>
          <w:sz w:val="28"/>
          <w:szCs w:val="28"/>
        </w:rPr>
      </w:pPr>
      <w:r w:rsidRPr="006F348C">
        <w:rPr>
          <w:rFonts w:asciiTheme="majorEastAsia" w:eastAsiaTheme="majorEastAsia" w:hAnsiTheme="majorEastAsia" w:hint="eastAsia"/>
          <w:b/>
          <w:bCs/>
          <w:kern w:val="36"/>
          <w:sz w:val="28"/>
          <w:szCs w:val="28"/>
        </w:rPr>
        <w:t>专家解读《有毒有害大气污染物名录（第一批）（征求意见稿）》</w:t>
      </w:r>
    </w:p>
    <w:p w:rsidR="00241CF6" w:rsidRPr="00547F18" w:rsidRDefault="00241CF6" w:rsidP="00241CF6">
      <w:pPr>
        <w:spacing w:line="440" w:lineRule="exact"/>
        <w:rPr>
          <w:rFonts w:ascii="仿宋" w:eastAsia="仿宋" w:hAnsi="仿宋"/>
          <w:color w:val="000000"/>
          <w:kern w:val="0"/>
          <w:sz w:val="24"/>
        </w:rPr>
      </w:pPr>
      <w:r>
        <w:rPr>
          <w:rFonts w:hint="eastAsia"/>
          <w:color w:val="000000"/>
          <w:kern w:val="0"/>
        </w:rPr>
        <w:t xml:space="preserve">    </w:t>
      </w:r>
      <w:r w:rsidRPr="00547F18">
        <w:rPr>
          <w:rFonts w:ascii="仿宋" w:eastAsia="仿宋" w:hAnsi="仿宋" w:hint="eastAsia"/>
          <w:color w:val="000000"/>
          <w:kern w:val="0"/>
          <w:sz w:val="24"/>
        </w:rPr>
        <w:t>生态环境部近日发布</w:t>
      </w:r>
      <w:hyperlink r:id="rId14" w:history="1">
        <w:r w:rsidRPr="00547F18">
          <w:rPr>
            <w:rFonts w:ascii="仿宋" w:eastAsia="仿宋" w:hAnsi="仿宋" w:hint="eastAsia"/>
            <w:color w:val="0000FF"/>
            <w:kern w:val="0"/>
            <w:sz w:val="24"/>
          </w:rPr>
          <w:t>《有毒有害大气污染物名录（第一批）（征求意见稿）》</w:t>
        </w:r>
      </w:hyperlink>
      <w:r w:rsidRPr="00547F18">
        <w:rPr>
          <w:rFonts w:ascii="仿宋" w:eastAsia="仿宋" w:hAnsi="仿宋" w:hint="eastAsia"/>
          <w:color w:val="000000"/>
          <w:kern w:val="0"/>
          <w:sz w:val="24"/>
        </w:rPr>
        <w:t>（以下简称《大气名录》）。为使各界深入了解《大气名录》出台背景、内容和管理要求等，固体废物与化学品管理技术中心林军研究员就有关问题回答了记者提问。</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 xml:space="preserve">1、问：《大气名录》出台的背景是什么？ </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林军：</w:t>
      </w:r>
      <w:r w:rsidRPr="00547F18">
        <w:rPr>
          <w:rFonts w:ascii="仿宋" w:eastAsia="仿宋" w:hAnsi="仿宋" w:hint="eastAsia"/>
          <w:color w:val="000000"/>
          <w:kern w:val="0"/>
          <w:sz w:val="24"/>
        </w:rPr>
        <w:t xml:space="preserve"> 2015年8月29日，第十二届全国人民代表大会常务委员会第十六次会议审议通过了修订的《大气污染防治法》（以下简称《大气法》），自2016年1月1日起施行。《大气法》将保障公众健康作为重要的立法目的，为在大气环境领域进一步推进环境与健康工作，切实防止重大公害事件的发生，《大气法》新增第七十八条内容，规定国务院环境保护主管部门会同国务院卫生行政部门，根据大气污染物对公众健康和生态环境的危害和影响程度，公布有毒有害大气污染物名录，实行风险管理。</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 xml:space="preserve">　2、问：当前涉及环境与健康的各类有毒有害污染物与化学品（化学物质）名录是何关系？ </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林军：</w:t>
      </w:r>
      <w:r w:rsidRPr="00547F18">
        <w:rPr>
          <w:rFonts w:ascii="仿宋" w:eastAsia="仿宋" w:hAnsi="仿宋" w:hint="eastAsia"/>
          <w:color w:val="000000"/>
          <w:kern w:val="0"/>
          <w:sz w:val="24"/>
        </w:rPr>
        <w:t>为体现将保障公众健康作为重要立法目的的精神，除《大气法》外，2018年1月1日起施行的《水污染防治法》新增第三十二条规定公布有毒有害水污染物名录。2019年1月1日起施行的《土壤污染防治法》第二十条规定公布重点控制的土壤有毒有害物质名录。此外，国务院2015年发布的《水污染防治行动计划》也明确提出，在评估现有化学物质环境和健康风险的基础上，发布优先控制化学品名录。2017年12月，原环境保护部会同工业和信息化部、原卫生计生委制定并发布了《优先控制化学品名录（第一批）》，包含22种（类）化学物质。</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化学品是人类有意生产的和自然界本身存在但经人类加工并利用的化学物质；化学污染物是进入环境的化学物质。目前，全球大约有10亿种化学物质，市场流通的有大约10万种化学品。</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有毒有害大气污染物、有毒有害水污染物、重点控制的土壤有毒有害物质及优先控制化学品等名录，实质上都是基于风险评估方法，考虑化学物质固有危害和暴露情况，筛选出存在或者可能存在较高环境与健康风险的化学物质。其中，优先控制化学品名录主要体现“该管”的原则，重点筛选应当优先管控的化学物质；有毒有害大气污染物名录、有毒有害水污染物名录等则是本着“能管”的原则，从优先控制化学品名录中，筛选出具有国家排放标准和监测方法的，且可以实施有效管控的固定源排放的化学物质。</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 xml:space="preserve">　3、问：《大气名录》第一批主要有哪些污染物？这些污染物主要涉及哪些行业？ </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lastRenderedPageBreak/>
        <w:t xml:space="preserve">　　</w:t>
      </w:r>
      <w:r w:rsidRPr="00547F18">
        <w:rPr>
          <w:rFonts w:ascii="仿宋" w:eastAsia="仿宋" w:hAnsi="仿宋" w:hint="eastAsia"/>
          <w:b/>
          <w:bCs/>
          <w:color w:val="000000"/>
          <w:kern w:val="0"/>
          <w:sz w:val="24"/>
        </w:rPr>
        <w:t>林军：</w:t>
      </w:r>
      <w:r w:rsidRPr="00547F18">
        <w:rPr>
          <w:rFonts w:ascii="仿宋" w:eastAsia="仿宋" w:hAnsi="仿宋" w:hint="eastAsia"/>
          <w:color w:val="000000"/>
          <w:kern w:val="0"/>
          <w:sz w:val="24"/>
        </w:rPr>
        <w:t>根据《大气法》要求，本着“能管”的原则，第一批《大气名录》在《优先控制化学品名录（第一批）》基础上，筛选出可以实施管控的排入大气环境中的化学物质，共11种（类），其中包含二氯甲烷、甲醛、三氯甲烷、三氯乙烯、四氯乙烯、乙醛等6种挥发性有机物，镉及其化合物、铬及其化合物、汞及其化合物、铅及其化合物和砷及其化合物等5种（类）重金属类物质。这11种（类）化学物质涉及的主要排放行业包括化学原料和化学制品制造业、有色金属冶炼和压延加工业、有色金属矿采选业等。</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这是新《大气法》实施以来第一次发布《大气名录》，今后还会依据风险评估结果、改善环境质量需求以及实际环境管理能力，适时更新名录，不断改善环境空气质量、提高人民群众生活品质。</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 xml:space="preserve">　4、问：《大气名录》出台后，有哪些具体的管理要求？ </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w:t>
      </w:r>
      <w:r w:rsidRPr="00547F18">
        <w:rPr>
          <w:rFonts w:ascii="仿宋" w:eastAsia="仿宋" w:hAnsi="仿宋" w:hint="eastAsia"/>
          <w:b/>
          <w:bCs/>
          <w:color w:val="000000"/>
          <w:kern w:val="0"/>
          <w:sz w:val="24"/>
        </w:rPr>
        <w:t>林军：</w:t>
      </w:r>
      <w:r w:rsidRPr="00547F18">
        <w:rPr>
          <w:rFonts w:ascii="仿宋" w:eastAsia="仿宋" w:hAnsi="仿宋" w:hint="eastAsia"/>
          <w:color w:val="000000"/>
          <w:kern w:val="0"/>
          <w:sz w:val="24"/>
        </w:rPr>
        <w:t>根据《大气污染防治法》，排放有毒有害大气污染物的企事业单位既要对污染物实行源头风险管理，又要落实污染源环境管理制度。</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实施风险防控的责任主体是排放有毒有害大气污染物的企业事业单位，这些单位除了履行大气污染防治义务外，还要履行风险防控义务，采取有效措施来降低环境与健康风险。</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企业履行风险防控义务主要有四项内容：一是按照国家有关规定建立环境风险预警体系；二是对排放口和周边环境定期监测；三是评估环境风险，排查环境安全隐患；四是采取技术改进等有效措施防范环境风险。</w:t>
      </w:r>
    </w:p>
    <w:p w:rsidR="00241CF6" w:rsidRPr="00547F18" w:rsidRDefault="00241CF6" w:rsidP="00241CF6">
      <w:pPr>
        <w:spacing w:line="440" w:lineRule="exact"/>
        <w:rPr>
          <w:rFonts w:ascii="仿宋" w:eastAsia="仿宋" w:hAnsi="仿宋"/>
          <w:color w:val="000000"/>
          <w:kern w:val="0"/>
          <w:sz w:val="24"/>
        </w:rPr>
      </w:pPr>
      <w:r w:rsidRPr="00547F18">
        <w:rPr>
          <w:rFonts w:ascii="仿宋" w:eastAsia="仿宋" w:hAnsi="仿宋" w:hint="eastAsia"/>
          <w:color w:val="000000"/>
          <w:kern w:val="0"/>
          <w:sz w:val="24"/>
        </w:rPr>
        <w:t xml:space="preserve">　　落实污染源环境管理制度主要包括两方面内容：一是落实排污许可证制度，按照国务院发布的《排污许可管理办法（试行）》和实施步骤取得排污许可证；二是开展监测，保存原始监测记录。其中，重点排污单位应当安装、使用大气污染物排放自动监测设备，与环境主管部门的监控设备联网，保证监测设备正常运行并依法公开排放信息。</w:t>
      </w:r>
    </w:p>
    <w:p w:rsidR="00241CF6" w:rsidRPr="00547F18" w:rsidRDefault="00241CF6" w:rsidP="00241CF6">
      <w:pPr>
        <w:pStyle w:val="a5"/>
        <w:spacing w:before="0" w:beforeAutospacing="0" w:after="0" w:afterAutospacing="0" w:line="440" w:lineRule="exact"/>
        <w:rPr>
          <w:rFonts w:ascii="仿宋" w:eastAsia="仿宋" w:hAnsi="仿宋"/>
          <w:b/>
          <w:bCs/>
          <w:color w:val="C60002"/>
          <w:kern w:val="36"/>
        </w:rPr>
      </w:pPr>
    </w:p>
    <w:p w:rsidR="00241CF6" w:rsidRPr="00547F18" w:rsidRDefault="00241CF6" w:rsidP="00241CF6">
      <w:pPr>
        <w:pStyle w:val="a5"/>
        <w:spacing w:before="0" w:beforeAutospacing="0" w:after="0" w:afterAutospacing="0" w:line="390" w:lineRule="atLeast"/>
        <w:rPr>
          <w:rFonts w:asciiTheme="minorEastAsia" w:eastAsiaTheme="minorEastAsia" w:hAnsiTheme="minorEastAsia"/>
          <w:b/>
          <w:bCs/>
          <w:color w:val="C60002"/>
          <w:kern w:val="36"/>
        </w:rPr>
      </w:pPr>
      <w:r w:rsidRPr="00547F18">
        <w:rPr>
          <w:rFonts w:asciiTheme="minorEastAsia" w:eastAsiaTheme="minorEastAsia" w:hAnsiTheme="minorEastAsia" w:hint="eastAsia"/>
          <w:b/>
          <w:bCs/>
          <w:kern w:val="36"/>
        </w:rPr>
        <w:t xml:space="preserve">    相关阅读：《有毒有害大气污染物名录（第一批）（征求意见稿）》</w:t>
      </w:r>
      <w:hyperlink r:id="rId15" w:history="1">
        <w:r w:rsidRPr="00547F18">
          <w:rPr>
            <w:rStyle w:val="a4"/>
            <w:rFonts w:asciiTheme="minorEastAsia" w:eastAsiaTheme="minorEastAsia" w:hAnsiTheme="minorEastAsia"/>
            <w:bdr w:val="none" w:sz="0" w:space="0" w:color="auto" w:frame="1"/>
          </w:rPr>
          <w:t>http://www.mee.gov.cn/xxgk2018/xxgk/xxgk06/201812/t20181214_684863.html</w:t>
        </w:r>
      </w:hyperlink>
    </w:p>
    <w:p w:rsidR="00241CF6" w:rsidRPr="00547F18" w:rsidRDefault="00241CF6" w:rsidP="00241CF6">
      <w:pPr>
        <w:pStyle w:val="a5"/>
        <w:spacing w:before="0" w:beforeAutospacing="0" w:after="0" w:afterAutospacing="0" w:line="390" w:lineRule="atLeast"/>
        <w:ind w:firstLineChars="300" w:firstLine="720"/>
        <w:rPr>
          <w:rFonts w:asciiTheme="minorEastAsia" w:eastAsiaTheme="minorEastAsia" w:hAnsiTheme="minorEastAsia"/>
          <w:color w:val="070707"/>
          <w:bdr w:val="none" w:sz="0" w:space="0" w:color="auto" w:frame="1"/>
        </w:rPr>
      </w:pPr>
    </w:p>
    <w:p w:rsidR="00241CF6" w:rsidRPr="00547F18" w:rsidRDefault="00241CF6" w:rsidP="00241CF6">
      <w:pPr>
        <w:rPr>
          <w:sz w:val="24"/>
        </w:rPr>
      </w:pPr>
    </w:p>
    <w:p w:rsidR="00241CF6" w:rsidRPr="00547F18" w:rsidRDefault="00241CF6" w:rsidP="00241CF6">
      <w:pPr>
        <w:rPr>
          <w:sz w:val="24"/>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Default="00241CF6">
      <w:pPr>
        <w:rPr>
          <w:rFonts w:hint="eastAsia"/>
          <w:sz w:val="28"/>
          <w:szCs w:val="28"/>
        </w:rPr>
      </w:pPr>
    </w:p>
    <w:p w:rsidR="00241CF6" w:rsidRPr="003C70A8" w:rsidRDefault="00241CF6" w:rsidP="00241CF6">
      <w:pPr>
        <w:spacing w:line="440" w:lineRule="exact"/>
        <w:rPr>
          <w:rFonts w:asciiTheme="minorEastAsia" w:hAnsiTheme="minorEastAsia"/>
          <w:sz w:val="28"/>
          <w:szCs w:val="28"/>
          <w:bdr w:val="single" w:sz="4" w:space="0" w:color="auto"/>
        </w:rPr>
      </w:pPr>
      <w:r w:rsidRPr="003C70A8">
        <w:rPr>
          <w:rFonts w:asciiTheme="minorEastAsia" w:hAnsiTheme="minorEastAsia" w:hint="eastAsia"/>
          <w:sz w:val="28"/>
          <w:szCs w:val="28"/>
          <w:bdr w:val="single" w:sz="4" w:space="0" w:color="auto"/>
        </w:rPr>
        <w:lastRenderedPageBreak/>
        <w:t>技术信息</w:t>
      </w:r>
    </w:p>
    <w:p w:rsidR="00241CF6" w:rsidRDefault="00241CF6" w:rsidP="00241CF6">
      <w:pPr>
        <w:spacing w:line="440" w:lineRule="exact"/>
        <w:jc w:val="center"/>
        <w:rPr>
          <w:rFonts w:asciiTheme="minorEastAsia" w:hAnsiTheme="minorEastAsia" w:hint="eastAsia"/>
          <w:sz w:val="28"/>
          <w:szCs w:val="28"/>
        </w:rPr>
      </w:pPr>
    </w:p>
    <w:p w:rsidR="00241CF6" w:rsidRPr="009E721E" w:rsidRDefault="00241CF6" w:rsidP="00241CF6">
      <w:pPr>
        <w:spacing w:line="440" w:lineRule="exact"/>
        <w:jc w:val="center"/>
        <w:rPr>
          <w:rFonts w:asciiTheme="minorEastAsia" w:hAnsiTheme="minorEastAsia"/>
          <w:sz w:val="28"/>
          <w:szCs w:val="28"/>
        </w:rPr>
      </w:pPr>
      <w:r w:rsidRPr="009E721E">
        <w:rPr>
          <w:rFonts w:asciiTheme="minorEastAsia" w:hAnsiTheme="minorEastAsia"/>
          <w:sz w:val="28"/>
          <w:szCs w:val="28"/>
        </w:rPr>
        <w:t>煤焦油加氢废气利用通过鉴定</w:t>
      </w:r>
    </w:p>
    <w:p w:rsidR="00241CF6" w:rsidRPr="009E721E" w:rsidRDefault="00241CF6" w:rsidP="00241CF6">
      <w:pPr>
        <w:spacing w:line="440" w:lineRule="exact"/>
        <w:rPr>
          <w:rFonts w:ascii="仿宋" w:eastAsia="仿宋" w:hAnsi="仿宋"/>
          <w:sz w:val="24"/>
        </w:rPr>
      </w:pPr>
    </w:p>
    <w:p w:rsidR="00241CF6" w:rsidRPr="009E721E" w:rsidRDefault="00241CF6" w:rsidP="00241CF6">
      <w:pPr>
        <w:spacing w:line="440" w:lineRule="exact"/>
        <w:rPr>
          <w:rFonts w:ascii="仿宋" w:eastAsia="仿宋" w:hAnsi="仿宋"/>
          <w:sz w:val="24"/>
        </w:rPr>
      </w:pPr>
      <w:r w:rsidRPr="009E721E">
        <w:rPr>
          <w:rFonts w:ascii="仿宋" w:eastAsia="仿宋" w:hAnsi="仿宋"/>
          <w:sz w:val="24"/>
        </w:rPr>
        <w:t xml:space="preserve">　　12月8日，陕西东鑫垣化工有限责任公司自主研发的煤焦油加氢废气回收利用技术和工业化应用，在西安通过由陕西省石油和化学工业联合会组织的科技成果鉴定。以西北大学化工学院教授李稳红为主任委员的鉴定委员会认为，该技术实现了煤焦油加氢装置排放废气中氢的高效合理利用，获得了宝贵而短缺的氢资源，达到国内领先水平。 </w:t>
      </w:r>
    </w:p>
    <w:p w:rsidR="00241CF6" w:rsidRPr="009E721E" w:rsidRDefault="00241CF6" w:rsidP="00241CF6">
      <w:pPr>
        <w:spacing w:line="440" w:lineRule="exact"/>
        <w:rPr>
          <w:rFonts w:ascii="仿宋" w:eastAsia="仿宋" w:hAnsi="仿宋"/>
          <w:sz w:val="24"/>
        </w:rPr>
      </w:pPr>
      <w:r w:rsidRPr="009E721E">
        <w:rPr>
          <w:rFonts w:ascii="仿宋" w:eastAsia="仿宋" w:hAnsi="仿宋"/>
          <w:sz w:val="24"/>
        </w:rPr>
        <w:t xml:space="preserve">　　鉴定意见显示，该技术回收的氢气满足了煤焦油加氢工艺对氢气质量的要求，使氢气利用率大幅提高。 </w:t>
      </w:r>
    </w:p>
    <w:p w:rsidR="00241CF6" w:rsidRDefault="00241CF6" w:rsidP="00241CF6">
      <w:pPr>
        <w:spacing w:line="440" w:lineRule="exact"/>
        <w:rPr>
          <w:rFonts w:ascii="仿宋" w:eastAsia="仿宋" w:hAnsi="仿宋"/>
          <w:sz w:val="24"/>
        </w:rPr>
      </w:pPr>
      <w:r w:rsidRPr="009E721E">
        <w:rPr>
          <w:rFonts w:ascii="仿宋" w:eastAsia="仿宋" w:hAnsi="仿宋"/>
          <w:sz w:val="24"/>
        </w:rPr>
        <w:t xml:space="preserve">　　东鑫垣公司50万吨/年煤焦油加氢装置原设计氢气用量2.5万标准立方米/时，之前制氢系统最大提氢量不超过1.4万标准立方米/时，因制氢装置氢气量不足，严重制约煤焦油加氢装置产能的提升。而加氢装置高、低压分离器排放的废气中氢气含量80%左右，与焦化装置产出的富气作为加热炉燃料燃烧。在加热炉燃料富余时，含氢尾气只能通过高压火炬放空燃烧，造成能源浪费和环境污染。针对生产装置氢气短缺而未被充分利用的现状，</w:t>
      </w:r>
      <w:r>
        <w:rPr>
          <w:rFonts w:ascii="仿宋" w:eastAsia="仿宋" w:hAnsi="仿宋" w:hint="eastAsia"/>
          <w:sz w:val="24"/>
        </w:rPr>
        <w:t>技术</w:t>
      </w:r>
      <w:r w:rsidRPr="009E721E">
        <w:rPr>
          <w:rFonts w:ascii="仿宋" w:eastAsia="仿宋" w:hAnsi="仿宋"/>
          <w:sz w:val="24"/>
        </w:rPr>
        <w:t>攻关小组将煤焦油加氢中产生的废气与无变换荒煤气混合，经过水洗除盐、变温吸附预处理脱硫工艺，集成PSA变压吸附和真空解吸制氢核心技术，使提取的氢气纯度高达99.6%以上。</w:t>
      </w:r>
    </w:p>
    <w:p w:rsidR="00241CF6" w:rsidRPr="009E721E" w:rsidRDefault="00241CF6" w:rsidP="00241CF6">
      <w:pPr>
        <w:spacing w:line="440" w:lineRule="exact"/>
        <w:rPr>
          <w:rFonts w:ascii="仿宋" w:eastAsia="仿宋" w:hAnsi="仿宋"/>
          <w:sz w:val="24"/>
        </w:rPr>
      </w:pPr>
      <w:r w:rsidRPr="009E721E">
        <w:rPr>
          <w:rFonts w:ascii="仿宋" w:eastAsia="仿宋" w:hAnsi="仿宋"/>
          <w:sz w:val="24"/>
        </w:rPr>
        <w:t xml:space="preserve">　　2017年6月，制定了煤焦油加氢废气回收利用改造实施方案，于同年7月完成装置技术改造，将废气引入PSA变压吸附预处理系统与加压无变换煤气混合，经氨及铵盐洗涤塔进入TSA变温吸附除去硫化氢及轻烃类等物质，再进入提浓、提纯工段进行提纯，制取的氢气纯度99.6%以上，可作为加氢装置的生产原料。</w:t>
      </w:r>
      <w:r>
        <w:rPr>
          <w:rFonts w:ascii="仿宋" w:eastAsia="仿宋" w:hAnsi="仿宋" w:hint="eastAsia"/>
          <w:sz w:val="24"/>
        </w:rPr>
        <w:t>2018</w:t>
      </w:r>
      <w:r w:rsidRPr="009E721E">
        <w:rPr>
          <w:rFonts w:ascii="仿宋" w:eastAsia="仿宋" w:hAnsi="仿宋"/>
          <w:sz w:val="24"/>
        </w:rPr>
        <w:t>年6月，该项目又针对制氢装置氢气收率低、吸附剂再生效果差等问题，实施了制氢装置设备改造和工艺优化，使含氧制氢装置氢气产量由1.4万标准立方米/时提升至2.3万~2.8万标准立方米/时，油品日产量由原来的500多吨提升至1000吨以上。截至2018年11月底，煤焦油加氢装置已连续安全稳定运行600多天。经废气回收利用制氢技术改造后，该装置可年增产油品1.98万吨，按油品均价5500元/吨计算，全年增加产值10890万元、利润4950万元。</w:t>
      </w:r>
    </w:p>
    <w:p w:rsidR="00241CF6" w:rsidRPr="009E721E" w:rsidRDefault="00241CF6" w:rsidP="00241CF6">
      <w:pPr>
        <w:spacing w:line="440" w:lineRule="exact"/>
        <w:rPr>
          <w:rFonts w:ascii="仿宋" w:eastAsia="仿宋" w:hAnsi="仿宋"/>
          <w:sz w:val="24"/>
        </w:rPr>
      </w:pPr>
      <w:r w:rsidRPr="009E721E">
        <w:rPr>
          <w:rFonts w:ascii="仿宋" w:eastAsia="仿宋" w:hAnsi="仿宋"/>
          <w:sz w:val="24"/>
        </w:rPr>
        <w:t xml:space="preserve">　　鉴定意见称，煤焦油加氢废气回收利用技术工艺先进可行，经济和环境效益显著，具有很好的推广应用价值。</w:t>
      </w:r>
    </w:p>
    <w:p w:rsidR="00241CF6" w:rsidRPr="009E721E" w:rsidRDefault="00241CF6" w:rsidP="00241CF6">
      <w:pPr>
        <w:spacing w:line="440" w:lineRule="exact"/>
        <w:rPr>
          <w:rFonts w:ascii="仿宋" w:eastAsia="仿宋" w:hAnsi="仿宋"/>
          <w:sz w:val="24"/>
        </w:rPr>
      </w:pPr>
    </w:p>
    <w:p w:rsidR="00241CF6" w:rsidRDefault="00241CF6">
      <w:pPr>
        <w:rPr>
          <w:rFonts w:hint="eastAsia"/>
          <w:sz w:val="28"/>
          <w:szCs w:val="28"/>
        </w:rPr>
      </w:pPr>
    </w:p>
    <w:p w:rsidR="00486ED8" w:rsidRDefault="00486ED8">
      <w:pPr>
        <w:rPr>
          <w:rFonts w:hint="eastAsia"/>
          <w:sz w:val="28"/>
          <w:szCs w:val="28"/>
        </w:rPr>
      </w:pPr>
    </w:p>
    <w:p w:rsidR="00486ED8" w:rsidRPr="00470B35" w:rsidRDefault="00486ED8" w:rsidP="00486ED8">
      <w:pPr>
        <w:spacing w:line="440" w:lineRule="exact"/>
        <w:rPr>
          <w:rFonts w:asciiTheme="minorEastAsia" w:hAnsiTheme="minorEastAsia"/>
          <w:sz w:val="28"/>
          <w:szCs w:val="28"/>
          <w:bdr w:val="single" w:sz="4" w:space="0" w:color="auto"/>
        </w:rPr>
      </w:pPr>
      <w:r w:rsidRPr="00470B35">
        <w:rPr>
          <w:rFonts w:asciiTheme="minorEastAsia" w:hAnsiTheme="minorEastAsia" w:hint="eastAsia"/>
          <w:sz w:val="28"/>
          <w:szCs w:val="28"/>
          <w:bdr w:val="single" w:sz="4" w:space="0" w:color="auto"/>
        </w:rPr>
        <w:lastRenderedPageBreak/>
        <w:t>技术信息</w:t>
      </w:r>
    </w:p>
    <w:p w:rsidR="00486ED8" w:rsidRDefault="00486ED8" w:rsidP="00486ED8">
      <w:pPr>
        <w:spacing w:line="440" w:lineRule="exact"/>
        <w:jc w:val="center"/>
        <w:rPr>
          <w:rFonts w:asciiTheme="minorEastAsia" w:hAnsiTheme="minorEastAsia" w:hint="eastAsia"/>
          <w:sz w:val="28"/>
          <w:szCs w:val="28"/>
        </w:rPr>
      </w:pPr>
    </w:p>
    <w:p w:rsidR="00486ED8" w:rsidRPr="00470B35" w:rsidRDefault="00486ED8" w:rsidP="00486ED8">
      <w:pPr>
        <w:spacing w:line="440" w:lineRule="exact"/>
        <w:jc w:val="center"/>
        <w:rPr>
          <w:rFonts w:asciiTheme="minorEastAsia" w:hAnsiTheme="minorEastAsia"/>
          <w:sz w:val="28"/>
          <w:szCs w:val="28"/>
        </w:rPr>
      </w:pPr>
      <w:r w:rsidRPr="00470B35">
        <w:rPr>
          <w:rFonts w:asciiTheme="minorEastAsia" w:hAnsiTheme="minorEastAsia"/>
          <w:sz w:val="28"/>
          <w:szCs w:val="28"/>
        </w:rPr>
        <w:t>超薄多孔新材料轻松“捕获”二氧化碳</w:t>
      </w:r>
    </w:p>
    <w:p w:rsidR="00486ED8" w:rsidRPr="00470B35" w:rsidRDefault="00486ED8" w:rsidP="00486ED8">
      <w:pPr>
        <w:spacing w:line="440" w:lineRule="exact"/>
        <w:rPr>
          <w:rFonts w:ascii="仿宋" w:eastAsia="仿宋" w:hAnsi="仿宋"/>
          <w:sz w:val="24"/>
        </w:rPr>
      </w:pPr>
    </w:p>
    <w:p w:rsidR="00486ED8" w:rsidRPr="00470B35" w:rsidRDefault="00486ED8" w:rsidP="00486ED8">
      <w:pPr>
        <w:spacing w:line="440" w:lineRule="exact"/>
        <w:rPr>
          <w:rFonts w:ascii="仿宋" w:eastAsia="仿宋" w:hAnsi="仿宋"/>
          <w:sz w:val="24"/>
        </w:rPr>
      </w:pPr>
      <w:r w:rsidRPr="00470B35">
        <w:rPr>
          <w:rFonts w:ascii="仿宋" w:eastAsia="仿宋" w:hAnsi="仿宋"/>
          <w:sz w:val="24"/>
        </w:rPr>
        <w:t xml:space="preserve">　　天津大学化工学院王志教授团队及其合作者在世界上首次实现了多孔材料膜的超薄大面积制备，可更为容易地实现二氧化碳的分离与捕集，这一研究不仅有助于缓解温室效应气体排放，也为气体分离技术开辟了一个全新领域。英国伦敦时间11月19日下午，该科研成果在《自然·材料》在线发表。 </w:t>
      </w:r>
    </w:p>
    <w:p w:rsidR="00486ED8" w:rsidRPr="00470B35" w:rsidRDefault="00486ED8" w:rsidP="00486ED8">
      <w:pPr>
        <w:spacing w:line="440" w:lineRule="exact"/>
        <w:rPr>
          <w:rFonts w:ascii="仿宋" w:eastAsia="仿宋" w:hAnsi="仿宋"/>
          <w:sz w:val="24"/>
        </w:rPr>
      </w:pPr>
      <w:r w:rsidRPr="00470B35">
        <w:rPr>
          <w:rFonts w:ascii="仿宋" w:eastAsia="仿宋" w:hAnsi="仿宋"/>
          <w:sz w:val="24"/>
        </w:rPr>
        <w:t xml:space="preserve">　　据介绍，二氧化碳的分离与捕集对于缓解工业生产过程中温室气体的排放具有重要意义。但是，在碳捕集方面，目前在气体分离中大放异彩的“MOFs”材料效果并不理想。工业生产尤其是电力行业中，排放的气体往往含有大量的水蒸气。然而，“MOFs”材料在潮湿的条件下结构容易被破坏。并且，在制备分离过滤膜的过程中，“MOFs”材料需要和另外一种聚合物混合后，涂覆到高分子基膜上，形成“混合相”薄膜。但是，由于“MOFs”和薄膜中的聚合物之间并没有化学的桥接作用，会使得实际的过滤薄膜存在如裂纹及不均匀等缺陷，从而影响实际使用性能。 </w:t>
      </w:r>
    </w:p>
    <w:p w:rsidR="00486ED8" w:rsidRPr="00470B35" w:rsidRDefault="00486ED8" w:rsidP="00486ED8">
      <w:pPr>
        <w:spacing w:line="440" w:lineRule="exact"/>
        <w:rPr>
          <w:rFonts w:ascii="仿宋" w:eastAsia="仿宋" w:hAnsi="仿宋"/>
          <w:sz w:val="24"/>
        </w:rPr>
      </w:pPr>
      <w:r w:rsidRPr="00470B35">
        <w:rPr>
          <w:rFonts w:ascii="仿宋" w:eastAsia="仿宋" w:hAnsi="仿宋"/>
          <w:sz w:val="24"/>
        </w:rPr>
        <w:t xml:space="preserve">　　王志教授团队经过不懈努力，首次成功构筑了具有有序微孔结构的金属诱导有序微孔聚合物(MMPs)，用于二氧化碳和氮气的高效分离。该结构以铜或锌金属离子、有机偶联分子和短链的高分子聚合物作为结构单元。“MMPs”可以涂覆在商品基膜上，既具有“MOFs”孔结构的特征，又克服了其缺点，且具有更好的成膜性，更佳的稳定性。同时，该结构可以使和其中的聚合物单元具有较好亲和性的二氧化碳透过;而亲和性较差的氮气被阻挡，从而实现了气体的分离。 </w:t>
      </w:r>
    </w:p>
    <w:p w:rsidR="00486ED8" w:rsidRPr="00470B35" w:rsidRDefault="00486ED8" w:rsidP="00486ED8">
      <w:pPr>
        <w:spacing w:line="440" w:lineRule="exact"/>
        <w:rPr>
          <w:rFonts w:ascii="仿宋" w:eastAsia="仿宋" w:hAnsi="仿宋"/>
          <w:sz w:val="24"/>
        </w:rPr>
      </w:pPr>
    </w:p>
    <w:p w:rsidR="00486ED8" w:rsidRPr="00486ED8" w:rsidRDefault="00486ED8">
      <w:pPr>
        <w:rPr>
          <w:sz w:val="28"/>
          <w:szCs w:val="28"/>
        </w:rPr>
      </w:pPr>
    </w:p>
    <w:sectPr w:rsidR="00486ED8" w:rsidRPr="00486ED8" w:rsidSect="00A56295">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6295"/>
    <w:rsid w:val="000A3C39"/>
    <w:rsid w:val="00180E99"/>
    <w:rsid w:val="00241CF6"/>
    <w:rsid w:val="00247EB7"/>
    <w:rsid w:val="0027190F"/>
    <w:rsid w:val="002B3F8F"/>
    <w:rsid w:val="00434DDE"/>
    <w:rsid w:val="00486ED8"/>
    <w:rsid w:val="004B7AD1"/>
    <w:rsid w:val="00714E67"/>
    <w:rsid w:val="00923BF5"/>
    <w:rsid w:val="009649A0"/>
    <w:rsid w:val="00A1376B"/>
    <w:rsid w:val="00A56295"/>
    <w:rsid w:val="00FE4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9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714E6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3BF5"/>
    <w:rPr>
      <w:sz w:val="18"/>
      <w:szCs w:val="18"/>
    </w:rPr>
  </w:style>
  <w:style w:type="character" w:customStyle="1" w:styleId="Char">
    <w:name w:val="批注框文本 Char"/>
    <w:basedOn w:val="a0"/>
    <w:link w:val="a3"/>
    <w:uiPriority w:val="99"/>
    <w:semiHidden/>
    <w:rsid w:val="00923BF5"/>
    <w:rPr>
      <w:rFonts w:ascii="Times New Roman" w:eastAsia="宋体" w:hAnsi="Times New Roman" w:cs="Times New Roman"/>
      <w:sz w:val="18"/>
      <w:szCs w:val="18"/>
    </w:rPr>
  </w:style>
  <w:style w:type="character" w:styleId="a4">
    <w:name w:val="Hyperlink"/>
    <w:basedOn w:val="a0"/>
    <w:uiPriority w:val="99"/>
    <w:unhideWhenUsed/>
    <w:rsid w:val="00923BF5"/>
    <w:rPr>
      <w:color w:val="0000FF" w:themeColor="hyperlink"/>
      <w:u w:val="single"/>
    </w:rPr>
  </w:style>
  <w:style w:type="paragraph" w:styleId="a5">
    <w:name w:val="Normal (Web)"/>
    <w:basedOn w:val="a"/>
    <w:uiPriority w:val="99"/>
    <w:unhideWhenUsed/>
    <w:rsid w:val="002B3F8F"/>
    <w:pPr>
      <w:widowControl/>
      <w:spacing w:before="100" w:beforeAutospacing="1" w:after="100" w:afterAutospacing="1"/>
      <w:jc w:val="left"/>
    </w:pPr>
    <w:rPr>
      <w:rFonts w:ascii="宋体" w:hAnsi="宋体" w:cs="宋体"/>
      <w:kern w:val="0"/>
      <w:sz w:val="24"/>
    </w:rPr>
  </w:style>
  <w:style w:type="table" w:styleId="a6">
    <w:name w:val="Table Grid"/>
    <w:basedOn w:val="a1"/>
    <w:rsid w:val="002B3F8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14E67"/>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0/n4388791/c6581771/content.html" TargetMode="External"/><Relationship Id="rId13" Type="http://schemas.openxmlformats.org/officeDocument/2006/relationships/hyperlink" Target="http://www.miit.gov.cn/n1146295/n1652858/n1652930/n4509607/c6568885/content.html" TargetMode="External"/><Relationship Id="rId3" Type="http://schemas.openxmlformats.org/officeDocument/2006/relationships/webSettings" Target="webSettings.xml"/><Relationship Id="rId7" Type="http://schemas.openxmlformats.org/officeDocument/2006/relationships/hyperlink" Target="http://www.miit.gov.cn/manageweb/edit.content.StreamOutPartsAction.action?contentId=6581737&amp;partId=6581750" TargetMode="External"/><Relationship Id="rId12" Type="http://schemas.openxmlformats.org/officeDocument/2006/relationships/hyperlink" Target="http://www.miit.gov.cn/n1146295/n1652858/n1652930/n4509607/c6568885/part/6568914.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iit.gov.cn/n1146290/n4388791/c6581771/part/6583747.doc" TargetMode="External"/><Relationship Id="rId11" Type="http://schemas.openxmlformats.org/officeDocument/2006/relationships/hyperlink" Target="http://www.miit.gov.cn/n1146290/n4388791/c6555295/content.html" TargetMode="External"/><Relationship Id="rId5" Type="http://schemas.openxmlformats.org/officeDocument/2006/relationships/hyperlink" Target="http://kjs.mee.gov.cn/hjbhbz/bzwb/wrfzjszc/201812/t20181225_685873.shtml" TargetMode="External"/><Relationship Id="rId15" Type="http://schemas.openxmlformats.org/officeDocument/2006/relationships/hyperlink" Target="http://www.mee.gov.cn/xxgk2018/xxgk/xxgk06/201812/t20181214_684863.html" TargetMode="External"/><Relationship Id="rId10" Type="http://schemas.openxmlformats.org/officeDocument/2006/relationships/hyperlink" Target="http://www.miit.gov.cn/n1146290/n4388791/c6555295/part/6555319.docx" TargetMode="External"/><Relationship Id="rId4" Type="http://schemas.openxmlformats.org/officeDocument/2006/relationships/hyperlink" Target="http://kjs.mee.gov.cn/hjbhbz/bzwb/wrfzjszc/201812/t20181225_685872.shtml" TargetMode="External"/><Relationship Id="rId9" Type="http://schemas.openxmlformats.org/officeDocument/2006/relationships/hyperlink" Target="http://www.mee.gov.cn/xxgk2018/xxgk/xxgk01/201901/W020190102322271690928.pdf" TargetMode="External"/><Relationship Id="rId14" Type="http://schemas.openxmlformats.org/officeDocument/2006/relationships/hyperlink" Target="http://www.mee.gov.cn/xxgk2018/xxgk/xxgk06/201812/t20181214_68486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21</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7</cp:revision>
  <cp:lastPrinted>2019-01-10T06:05:00Z</cp:lastPrinted>
  <dcterms:created xsi:type="dcterms:W3CDTF">2019-01-10T05:33:00Z</dcterms:created>
  <dcterms:modified xsi:type="dcterms:W3CDTF">2019-01-10T06:55:00Z</dcterms:modified>
</cp:coreProperties>
</file>