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1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spacing w:line="54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4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4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4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40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Times New Roman" w:eastAsia="方正小标宋_GBK"/>
        </w:rPr>
      </w:pPr>
      <w:r>
        <w:rPr>
          <w:rFonts w:hint="eastAsia" w:ascii="方正小标宋_GBK" w:hAnsi="Times New Roman" w:eastAsia="方正小标宋_GBK"/>
          <w:kern w:val="0"/>
          <w:sz w:val="56"/>
          <w:szCs w:val="80"/>
        </w:rPr>
        <w:t>排污单位自行监测帮扶指导报告</w:t>
      </w:r>
    </w:p>
    <w:p>
      <w:pPr>
        <w:rPr>
          <w:rFonts w:ascii="Times New Roman" w:hAnsi="Times New Roman"/>
          <w:vanish/>
        </w:rPr>
      </w:pPr>
      <w:bookmarkStart w:id="0" w:name="_GoBack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29845</wp:posOffset>
                </wp:positionV>
                <wp:extent cx="57600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69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.35pt;height:0pt;width:453.55pt;z-index:251658240;mso-width-relative:page;mso-height-relative:page;" filled="f" stroked="t" coordsize="21600,21600" o:gfxdata="UEsDBAoAAAAAAIdO4kAAAAAAAAAAAAAAAAAEAAAAZHJzL1BLAwQUAAAACACHTuJAJ2wH4tQAAAAF&#10;AQAADwAAAGRycy9kb3ducmV2LnhtbE2PO0/EMBCEeyT+g7VIdHd2eAVCnCuQECddgS5HQ+fESxyI&#10;11Hs3OPfs9BAOZrRzDfl6ugHsccp9oE0ZEsFAqkNtqdOw9vueXEPIiZD1gyBUMMJI6yq87PSFDYc&#10;aIv7OnWCSygWRoNLaSykjK1Db+IyjEjsfYTJm8Ry6qSdzIHL/SCvlLqT3vTEC86M+OSw/apnr+Fz&#10;17349/W42bhTU1/H23n9mqPWlxeZegSR8Jj+wvCDz+hQMVMTZrJRDBoWGQc13OQg2H1QOT9rfrWs&#10;SvmfvvoGUEsDBBQAAAAIAIdO4kD81bux2AEAAJYDAAAOAAAAZHJzL2Uyb0RvYy54bWytU0tuE0EQ&#10;3SNxh1bvyYwjxYSRx1lgwgZBpMAByv2Zaal/6up47EtwASR2sGLJntuQHIPqtuPw2SCEF+XqrupX&#10;9V7VLC62zrKNSmiC7/nspOVMeRGk8UPP3729fHLOGWbwEmzwquc7hfxi+fjRYoqdOg1jsFIlRiAe&#10;uyn2fMw5dk2DYlQO8CRE5SmoQ3KQ6ZiGRiaYCN3Z5rRt580UkowpCIVIt6t9kC8rvtZK5Ddao8rM&#10;9px6y9WmatfFNssFdEOCOBpxaAP+oQsHxlPRI9QKMrCbZP6AckakgEHnExFcE7Q2QlUOxGbW/sbm&#10;eoSoKhcSB+NRJvx/sOL15ioxI2l2nHlwNKLbD1+/v/909+0j2dsvn9msiDRF7Cj3Ol6lwwnJLYy3&#10;OrnyT1zYtgq7OwqrtpkJujx7Om/b8zPOxH2seXgYE+aXKjhWnJ5b4wtn6GDzCjMVo9T7lHJtPZt6&#10;Pn9W4YBWRlvIhOwikUA/1LcYrJGXxtryAtOwfm4T20BZgvorlAj3l7RSZAU47vNqaL8eowL5wkuW&#10;d5Hk8bTHvLTglOTMKlr74hEgdBmM/ZtMKm09dVBU3etYvHWQOxrGTUxmGEmJKnzNoeHXfg+LWrbr&#10;53NFevicl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2wH4tQAAAAFAQAADwAAAAAAAAABACAA&#10;AAAiAAAAZHJzL2Rvd25yZXYueG1sUEsBAhQAFAAAAAgAh07iQPzVu7HYAQAAlgMAAA4AAAAAAAAA&#10;AQAgAAAAIwEAAGRycy9lMm9Eb2MueG1sUEsFBgAAAAAGAAYAWQEAAG0FAAAAAA==&#10;">
                <v:path arrowok="t"/>
                <v:fill on="f" focussize="0,0"/>
                <v:stroke weight="0.55pt"/>
                <v:imagedata o:title=""/>
                <o:lock v:ext="edit" grouping="f" rotation="f" text="f" aspectratio="f"/>
              </v:line>
            </w:pict>
          </mc:Fallback>
        </mc:AlternateContent>
      </w:r>
      <w:bookmarkEnd w:id="0"/>
    </w:p>
    <w:tbl>
      <w:tblPr>
        <w:tblStyle w:val="4"/>
        <w:tblpPr w:leftFromText="187" w:rightFromText="187" w:horzAnchor="margin" w:tblpXSpec="center" w:tblpYSpec="bottom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noWrap w:val="0"/>
            <w:vAlign w:val="top"/>
          </w:tcPr>
          <w:p>
            <w:pPr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jc w:val="center"/>
        <w:rPr>
          <w:rFonts w:hint="eastAsia" w:ascii="Times New Roman" w:hAnsi="Times New Roman"/>
          <w:b/>
          <w:sz w:val="32"/>
          <w:szCs w:val="28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楷体_GB2312" w:hAnsi="Times New Roman" w:eastAsia="楷体_GB2312"/>
          <w:sz w:val="32"/>
          <w:szCs w:val="28"/>
        </w:rPr>
      </w:pPr>
      <w:r>
        <w:rPr>
          <w:rFonts w:hint="eastAsia" w:ascii="楷体_GB2312" w:hAnsi="Times New Roman" w:eastAsia="楷体_GB2312"/>
          <w:sz w:val="32"/>
          <w:szCs w:val="28"/>
        </w:rPr>
        <w:t>**省（区、市）生态环境厅（局）</w:t>
      </w:r>
    </w:p>
    <w:p>
      <w:pPr>
        <w:adjustRightInd w:val="0"/>
        <w:snapToGrid w:val="0"/>
        <w:spacing w:line="288" w:lineRule="auto"/>
        <w:jc w:val="center"/>
        <w:rPr>
          <w:rFonts w:hint="eastAsia" w:ascii="楷体_GB2312" w:hAnsi="Times New Roman" w:eastAsia="楷体_GB2312"/>
          <w:sz w:val="32"/>
          <w:szCs w:val="28"/>
        </w:rPr>
      </w:pPr>
      <w:r>
        <w:rPr>
          <w:rFonts w:hint="eastAsia" w:ascii="楷体_GB2312" w:hAnsi="Times New Roman" w:eastAsia="楷体_GB2312"/>
          <w:sz w:val="32"/>
          <w:szCs w:val="28"/>
        </w:rPr>
        <w:t>2020年**月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br w:type="page"/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一、帮扶指导方案</w:t>
      </w:r>
    </w:p>
    <w:p>
      <w:pPr>
        <w:adjustRightInd w:val="0"/>
        <w:snapToGrid w:val="0"/>
        <w:spacing w:line="348" w:lineRule="auto"/>
        <w:ind w:firstLine="600" w:firstLineChars="200"/>
        <w:outlineLvl w:val="1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时间、参加人员、区域、行业、项目、内容等基本情况。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二、现场抽测达标情况</w:t>
      </w:r>
    </w:p>
    <w:p>
      <w:pPr>
        <w:adjustRightInd w:val="0"/>
        <w:snapToGrid w:val="0"/>
        <w:spacing w:line="348" w:lineRule="auto"/>
        <w:ind w:firstLine="600" w:firstLineChars="200"/>
        <w:outlineLvl w:val="1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分区域、分行业、分项目进行浓度分布和达标率分析，列出超标排污企业清单。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三、自动监测设备质控样考核与比对监测情况（如有）</w:t>
      </w:r>
    </w:p>
    <w:p>
      <w:pPr>
        <w:adjustRightInd w:val="0"/>
        <w:snapToGrid w:val="0"/>
        <w:spacing w:line="348" w:lineRule="auto"/>
        <w:ind w:firstLine="600" w:firstLineChars="200"/>
        <w:outlineLvl w:val="1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对照相关标准要求，分区域、分行业、分项目进行质控样考核合格率和比对监测合格率分析。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四、排污单位自行监测规范性情况</w:t>
      </w:r>
    </w:p>
    <w:p>
      <w:pPr>
        <w:adjustRightInd w:val="0"/>
        <w:snapToGrid w:val="0"/>
        <w:spacing w:line="348" w:lineRule="auto"/>
        <w:ind w:firstLine="600" w:firstLineChars="200"/>
        <w:outlineLvl w:val="1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现场评估企业数量和规范性占比情况，存在的集中突出问题。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五、存在的主要问题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六、建议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附件：帮扶指导结果汇总表</w:t>
      </w:r>
    </w:p>
    <w:p>
      <w:pPr>
        <w:adjustRightInd w:val="0"/>
        <w:snapToGrid w:val="0"/>
        <w:spacing w:line="348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widowControl/>
        <w:spacing w:before="120" w:after="120"/>
        <w:jc w:val="left"/>
      </w:pPr>
    </w:p>
    <w:p/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 w:ascii="宋体" w:hAnsi="宋体"/>
        <w:sz w:val="20"/>
        <w:szCs w:val="20"/>
      </w:rPr>
      <w:t xml:space="preserve">  </w:t>
    </w:r>
    <w:r>
      <w:rPr>
        <w:rStyle w:val="6"/>
        <w:rFonts w:ascii="宋体" w:hAnsi="宋体"/>
        <w:sz w:val="26"/>
        <w:szCs w:val="26"/>
      </w:rPr>
      <w:fldChar w:fldCharType="begin"/>
    </w:r>
    <w:r>
      <w:rPr>
        <w:rStyle w:val="6"/>
        <w:rFonts w:ascii="宋体" w:hAnsi="宋体"/>
        <w:sz w:val="26"/>
        <w:szCs w:val="26"/>
      </w:rPr>
      <w:instrText xml:space="preserve">PAGE  </w:instrText>
    </w:r>
    <w:r>
      <w:rPr>
        <w:rStyle w:val="6"/>
        <w:rFonts w:ascii="宋体" w:hAnsi="宋体"/>
        <w:sz w:val="26"/>
        <w:szCs w:val="26"/>
      </w:rPr>
      <w:fldChar w:fldCharType="separate"/>
    </w:r>
    <w:r>
      <w:rPr>
        <w:rStyle w:val="6"/>
        <w:rFonts w:ascii="宋体" w:hAnsi="宋体"/>
        <w:sz w:val="26"/>
        <w:szCs w:val="26"/>
      </w:rPr>
      <w:t>12</w:t>
    </w:r>
    <w:r>
      <w:rPr>
        <w:rStyle w:val="6"/>
        <w:rFonts w:ascii="宋体" w:hAnsi="宋体"/>
        <w:sz w:val="26"/>
        <w:szCs w:val="26"/>
      </w:rPr>
      <w:fldChar w:fldCharType="end"/>
    </w:r>
    <w:r>
      <w:rPr>
        <w:rStyle w:val="6"/>
        <w:rFonts w:hint="eastAsia" w:ascii="宋体" w:hAnsi="宋体"/>
        <w:sz w:val="20"/>
        <w:szCs w:val="20"/>
      </w:rPr>
      <w:t xml:space="preserve"> 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A143E"/>
    <w:rsid w:val="6E7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2020-07-24T02:11:00Z</dcterms:created>
  <dc:creator>君榕</dc:creator>
  <cp:lastModifiedBy>君榕</cp:lastModifiedBy>
  <dcterms:modified xsi:type="dcterms:W3CDTF">2020-07-24T02:11:58Z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