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pStyle w:val="14"/>
        <w:adjustRightInd w:val="0"/>
        <w:snapToGrid w:val="0"/>
        <w:spacing w:line="560" w:lineRule="exact"/>
        <w:ind w:left="0" w:leftChars="0" w:firstLine="0" w:firstLineChars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参会回执表</w:t>
      </w:r>
    </w:p>
    <w:tbl>
      <w:tblPr>
        <w:tblStyle w:val="11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701"/>
        <w:gridCol w:w="2127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9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8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参会意向</w:t>
            </w:r>
          </w:p>
        </w:tc>
        <w:tc>
          <w:tcPr>
            <w:tcW w:w="7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主论坛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  <w:t>化工科研院所长创新发展论坛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  <w:t>首届石化行业优质企业高质量发展论坛</w:t>
            </w:r>
          </w:p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  <w:t>首届石化行业中央企业、国有企业和民营企业合作发展论坛</w:t>
            </w:r>
          </w:p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</w:rPr>
              <w:t>2023化工新材料（天津）发展论坛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住宿预订</w:t>
            </w:r>
          </w:p>
        </w:tc>
        <w:tc>
          <w:tcPr>
            <w:tcW w:w="7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于家堡国际金融会议中心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订房电话：022-59868888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大床房：600元/晚（单早）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双床房：650元/晚（双早）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7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□增值税专用发票    □增值税普通发票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注册办公地址及电话：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开户行名称：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银行帐号：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0FB5"/>
    <w:multiLevelType w:val="multilevel"/>
    <w:tmpl w:val="3CE00FB5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TYwMjZiMjUxZTg2YmM2Zjc5YTE1OTFmYTQzYjQifQ=="/>
  </w:docVars>
  <w:rsids>
    <w:rsidRoot w:val="00000000"/>
    <w:rsid w:val="35C93515"/>
    <w:rsid w:val="5EB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numPr>
        <w:ilvl w:val="2"/>
        <w:numId w:val="1"/>
      </w:numPr>
      <w:spacing w:before="50" w:beforeLines="50"/>
      <w:ind w:left="0" w:firstLine="0" w:firstLineChars="0"/>
      <w:jc w:val="left"/>
      <w:outlineLvl w:val="2"/>
    </w:pPr>
    <w:rPr>
      <w:rFonts w:hint="eastAsia" w:ascii="Arial" w:hAnsi="Arial" w:eastAsia="宋体" w:cs="Times New Roman"/>
      <w:b/>
      <w:bCs/>
      <w:kern w:val="0"/>
      <w:sz w:val="32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basedOn w:val="12"/>
    <w:link w:val="2"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2022-08-05T00:37:00Z</dcterms:created>
  <dc:creator>18813</dc:creator>
  <cp:lastModifiedBy>.</cp:lastModifiedBy>
  <dcterms:modified xsi:type="dcterms:W3CDTF">2023-09-13T06:15:10Z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830FCBF4BF734DEC9273747242BE2B4E</vt:lpwstr>
  </property>
</Properties>
</file>